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B53" w:rsidRPr="00544311" w:rsidRDefault="00426B53" w:rsidP="0067675C">
      <w:pPr>
        <w:pBdr>
          <w:top w:val="single" w:sz="12" w:space="1" w:color="auto"/>
          <w:left w:val="single" w:sz="12" w:space="1" w:color="auto"/>
          <w:bottom w:val="single" w:sz="12" w:space="1" w:color="auto"/>
          <w:right w:val="single" w:sz="12" w:space="1" w:color="auto"/>
        </w:pBdr>
        <w:ind w:right="-144"/>
        <w:jc w:val="center"/>
        <w:rPr>
          <w:rFonts w:ascii="Garamond" w:hAnsi="Garamond"/>
          <w:b/>
        </w:rPr>
      </w:pPr>
    </w:p>
    <w:p w:rsidR="00FE469E" w:rsidRDefault="00F2418B" w:rsidP="0067675C">
      <w:pPr>
        <w:pBdr>
          <w:top w:val="single" w:sz="12" w:space="1" w:color="auto"/>
          <w:left w:val="single" w:sz="12" w:space="1" w:color="auto"/>
          <w:bottom w:val="single" w:sz="12" w:space="1" w:color="auto"/>
          <w:right w:val="single" w:sz="12" w:space="1" w:color="auto"/>
        </w:pBdr>
        <w:ind w:right="-144"/>
        <w:jc w:val="center"/>
      </w:pPr>
      <w:r>
        <w:rPr>
          <w:noProof/>
          <w:sz w:val="20"/>
          <w:szCs w:val="20"/>
        </w:rPr>
        <w:drawing>
          <wp:anchor distT="0" distB="0" distL="114300" distR="114300" simplePos="0" relativeHeight="251657728" behindDoc="0" locked="0" layoutInCell="1" allowOverlap="0">
            <wp:simplePos x="0" y="0"/>
            <wp:positionH relativeFrom="column">
              <wp:posOffset>2509520</wp:posOffset>
            </wp:positionH>
            <wp:positionV relativeFrom="paragraph">
              <wp:posOffset>58420</wp:posOffset>
            </wp:positionV>
            <wp:extent cx="830580" cy="83058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pic:spPr>
                </pic:pic>
              </a:graphicData>
            </a:graphic>
            <wp14:sizeRelH relativeFrom="page">
              <wp14:pctWidth>0</wp14:pctWidth>
            </wp14:sizeRelH>
            <wp14:sizeRelV relativeFrom="page">
              <wp14:pctHeight>0</wp14:pctHeight>
            </wp14:sizeRelV>
          </wp:anchor>
        </w:drawing>
      </w:r>
    </w:p>
    <w:p w:rsidR="00FE469E" w:rsidRDefault="00FE469E" w:rsidP="0067675C">
      <w:pPr>
        <w:pBdr>
          <w:top w:val="single" w:sz="12" w:space="1" w:color="auto"/>
          <w:left w:val="single" w:sz="12" w:space="1" w:color="auto"/>
          <w:bottom w:val="single" w:sz="12" w:space="1" w:color="auto"/>
          <w:right w:val="single" w:sz="12" w:space="1" w:color="auto"/>
        </w:pBdr>
        <w:ind w:right="-144"/>
        <w:jc w:val="center"/>
      </w:pPr>
    </w:p>
    <w:p w:rsidR="00426B53" w:rsidRPr="0044558A" w:rsidRDefault="00426B53" w:rsidP="0067675C">
      <w:pPr>
        <w:pBdr>
          <w:top w:val="single" w:sz="12" w:space="1" w:color="auto"/>
          <w:left w:val="single" w:sz="12" w:space="1" w:color="auto"/>
          <w:bottom w:val="single" w:sz="12" w:space="1" w:color="auto"/>
          <w:right w:val="single" w:sz="12" w:space="1" w:color="auto"/>
        </w:pBdr>
        <w:ind w:right="-144"/>
        <w:jc w:val="center"/>
        <w:rPr>
          <w:b/>
          <w:sz w:val="28"/>
        </w:rPr>
      </w:pPr>
      <w:r w:rsidRPr="0044558A">
        <w:rPr>
          <w:b/>
          <w:sz w:val="28"/>
        </w:rPr>
        <w:t>T.C.</w:t>
      </w:r>
    </w:p>
    <w:p w:rsidR="00664AE1" w:rsidRDefault="00664AE1" w:rsidP="0067675C">
      <w:pPr>
        <w:pBdr>
          <w:top w:val="single" w:sz="12" w:space="1" w:color="auto"/>
          <w:left w:val="single" w:sz="12" w:space="1" w:color="auto"/>
          <w:bottom w:val="single" w:sz="12" w:space="1" w:color="auto"/>
          <w:right w:val="single" w:sz="12" w:space="1" w:color="auto"/>
        </w:pBdr>
        <w:ind w:right="-144"/>
        <w:jc w:val="center"/>
        <w:rPr>
          <w:b/>
          <w:sz w:val="28"/>
        </w:rPr>
      </w:pPr>
    </w:p>
    <w:p w:rsidR="00664AE1" w:rsidRDefault="00664AE1" w:rsidP="0067675C">
      <w:pPr>
        <w:pBdr>
          <w:top w:val="single" w:sz="12" w:space="1" w:color="auto"/>
          <w:left w:val="single" w:sz="12" w:space="1" w:color="auto"/>
          <w:bottom w:val="single" w:sz="12" w:space="1" w:color="auto"/>
          <w:right w:val="single" w:sz="12" w:space="1" w:color="auto"/>
        </w:pBdr>
        <w:ind w:right="-144"/>
        <w:jc w:val="center"/>
        <w:rPr>
          <w:b/>
          <w:sz w:val="28"/>
        </w:rPr>
      </w:pPr>
    </w:p>
    <w:p w:rsidR="00426B53" w:rsidRPr="00394684" w:rsidRDefault="004F546B" w:rsidP="0067675C">
      <w:pPr>
        <w:pBdr>
          <w:top w:val="single" w:sz="12" w:space="1" w:color="auto"/>
          <w:left w:val="single" w:sz="12" w:space="1" w:color="auto"/>
          <w:bottom w:val="single" w:sz="12" w:space="1" w:color="auto"/>
          <w:right w:val="single" w:sz="12" w:space="1" w:color="auto"/>
        </w:pBdr>
        <w:ind w:right="-144"/>
        <w:jc w:val="center"/>
        <w:rPr>
          <w:rFonts w:ascii="Garamond" w:hAnsi="Garamond"/>
          <w:b/>
          <w:sz w:val="28"/>
        </w:rPr>
      </w:pPr>
      <w:r w:rsidRPr="00394684">
        <w:rPr>
          <w:rFonts w:ascii="Garamond" w:hAnsi="Garamond"/>
          <w:b/>
          <w:sz w:val="28"/>
        </w:rPr>
        <w:t>Ticaret</w:t>
      </w:r>
      <w:r w:rsidR="00FE469E" w:rsidRPr="00394684">
        <w:rPr>
          <w:rFonts w:ascii="Garamond" w:hAnsi="Garamond"/>
          <w:b/>
          <w:sz w:val="28"/>
        </w:rPr>
        <w:t xml:space="preserve"> Bakanlığı</w:t>
      </w:r>
    </w:p>
    <w:p w:rsidR="00FE469E" w:rsidRPr="00394684" w:rsidRDefault="00FE469E" w:rsidP="0067675C">
      <w:pPr>
        <w:pBdr>
          <w:top w:val="single" w:sz="12" w:space="1" w:color="auto"/>
          <w:left w:val="single" w:sz="12" w:space="1" w:color="auto"/>
          <w:bottom w:val="single" w:sz="12" w:space="1" w:color="auto"/>
          <w:right w:val="single" w:sz="12" w:space="1" w:color="auto"/>
        </w:pBdr>
        <w:ind w:right="-144"/>
        <w:jc w:val="center"/>
        <w:rPr>
          <w:rFonts w:ascii="Garamond" w:hAnsi="Garamond"/>
          <w:sz w:val="28"/>
        </w:rPr>
      </w:pPr>
      <w:r w:rsidRPr="00394684">
        <w:rPr>
          <w:rFonts w:ascii="Garamond" w:hAnsi="Garamond"/>
          <w:b/>
          <w:sz w:val="28"/>
        </w:rPr>
        <w:t>İthalat Genel Müdürlüğü</w:t>
      </w:r>
    </w:p>
    <w:p w:rsidR="00426B53" w:rsidRPr="00394684" w:rsidRDefault="00426B53" w:rsidP="0067675C">
      <w:pPr>
        <w:pBdr>
          <w:top w:val="single" w:sz="12" w:space="1" w:color="auto"/>
          <w:left w:val="single" w:sz="12" w:space="1" w:color="auto"/>
          <w:bottom w:val="single" w:sz="12" w:space="1" w:color="auto"/>
          <w:right w:val="single" w:sz="12" w:space="1" w:color="auto"/>
        </w:pBdr>
        <w:ind w:right="-144"/>
        <w:jc w:val="center"/>
        <w:rPr>
          <w:rFonts w:ascii="Garamond" w:hAnsi="Garamond"/>
          <w:b/>
        </w:rPr>
      </w:pPr>
    </w:p>
    <w:p w:rsidR="00426B53" w:rsidRPr="00197FFA" w:rsidRDefault="00426B53" w:rsidP="0067675C">
      <w:pPr>
        <w:pBdr>
          <w:top w:val="single" w:sz="12" w:space="1" w:color="auto"/>
          <w:left w:val="single" w:sz="12" w:space="1" w:color="auto"/>
          <w:bottom w:val="single" w:sz="12" w:space="1" w:color="auto"/>
          <w:right w:val="single" w:sz="12" w:space="1" w:color="auto"/>
        </w:pBdr>
        <w:ind w:right="-144"/>
        <w:jc w:val="center"/>
        <w:rPr>
          <w:rFonts w:ascii="Garamond" w:hAnsi="Garamond"/>
          <w:b/>
        </w:rPr>
      </w:pPr>
    </w:p>
    <w:p w:rsidR="00426B53" w:rsidRPr="00197FFA" w:rsidRDefault="00426B53" w:rsidP="0067675C">
      <w:pPr>
        <w:pBdr>
          <w:top w:val="single" w:sz="12" w:space="1" w:color="auto"/>
          <w:left w:val="single" w:sz="12" w:space="1" w:color="auto"/>
          <w:bottom w:val="single" w:sz="12" w:space="1" w:color="auto"/>
          <w:right w:val="single" w:sz="12" w:space="1" w:color="auto"/>
        </w:pBdr>
        <w:ind w:right="-144"/>
        <w:jc w:val="center"/>
        <w:rPr>
          <w:rFonts w:ascii="Garamond" w:hAnsi="Garamond"/>
          <w:b/>
        </w:rPr>
      </w:pPr>
    </w:p>
    <w:p w:rsidR="00426B53" w:rsidRDefault="00426B53" w:rsidP="0067675C">
      <w:pPr>
        <w:pBdr>
          <w:top w:val="single" w:sz="12" w:space="1" w:color="auto"/>
          <w:left w:val="single" w:sz="12" w:space="1" w:color="auto"/>
          <w:bottom w:val="single" w:sz="12" w:space="1" w:color="auto"/>
          <w:right w:val="single" w:sz="12" w:space="1" w:color="auto"/>
        </w:pBdr>
        <w:ind w:right="-144"/>
        <w:jc w:val="center"/>
        <w:rPr>
          <w:rFonts w:ascii="Garamond" w:hAnsi="Garamond"/>
          <w:b/>
        </w:rPr>
      </w:pPr>
    </w:p>
    <w:p w:rsidR="001208E9" w:rsidRPr="00197FFA" w:rsidRDefault="001208E9" w:rsidP="0067675C">
      <w:pPr>
        <w:pBdr>
          <w:top w:val="single" w:sz="12" w:space="1" w:color="auto"/>
          <w:left w:val="single" w:sz="12" w:space="1" w:color="auto"/>
          <w:bottom w:val="single" w:sz="12" w:space="1" w:color="auto"/>
          <w:right w:val="single" w:sz="12" w:space="1" w:color="auto"/>
        </w:pBdr>
        <w:ind w:right="-144"/>
        <w:jc w:val="center"/>
        <w:rPr>
          <w:rFonts w:ascii="Garamond" w:hAnsi="Garamond"/>
          <w:b/>
        </w:rPr>
      </w:pPr>
    </w:p>
    <w:p w:rsidR="00426B53" w:rsidRDefault="00426B53" w:rsidP="0067675C">
      <w:pPr>
        <w:pBdr>
          <w:top w:val="single" w:sz="12" w:space="1" w:color="auto"/>
          <w:left w:val="single" w:sz="12" w:space="1" w:color="auto"/>
          <w:bottom w:val="single" w:sz="12" w:space="1" w:color="auto"/>
          <w:right w:val="single" w:sz="12" w:space="1" w:color="auto"/>
        </w:pBdr>
        <w:ind w:right="-144"/>
        <w:jc w:val="center"/>
        <w:rPr>
          <w:rFonts w:ascii="Garamond" w:hAnsi="Garamond"/>
          <w:b/>
        </w:rPr>
      </w:pPr>
    </w:p>
    <w:p w:rsidR="00664AE1" w:rsidRDefault="00664AE1" w:rsidP="0067675C">
      <w:pPr>
        <w:pBdr>
          <w:top w:val="single" w:sz="12" w:space="1" w:color="auto"/>
          <w:left w:val="single" w:sz="12" w:space="1" w:color="auto"/>
          <w:bottom w:val="single" w:sz="12" w:space="1" w:color="auto"/>
          <w:right w:val="single" w:sz="12" w:space="1" w:color="auto"/>
        </w:pBdr>
        <w:ind w:right="-144"/>
        <w:jc w:val="center"/>
        <w:rPr>
          <w:rFonts w:ascii="Garamond" w:hAnsi="Garamond"/>
          <w:b/>
        </w:rPr>
      </w:pPr>
    </w:p>
    <w:p w:rsidR="00664AE1" w:rsidRDefault="00664AE1" w:rsidP="0067675C">
      <w:pPr>
        <w:pBdr>
          <w:top w:val="single" w:sz="12" w:space="1" w:color="auto"/>
          <w:left w:val="single" w:sz="12" w:space="1" w:color="auto"/>
          <w:bottom w:val="single" w:sz="12" w:space="1" w:color="auto"/>
          <w:right w:val="single" w:sz="12" w:space="1" w:color="auto"/>
        </w:pBdr>
        <w:ind w:right="-144"/>
        <w:jc w:val="center"/>
        <w:rPr>
          <w:rFonts w:ascii="Garamond" w:hAnsi="Garamond"/>
          <w:b/>
        </w:rPr>
      </w:pPr>
    </w:p>
    <w:p w:rsidR="00664AE1" w:rsidRDefault="00664AE1" w:rsidP="0067675C">
      <w:pPr>
        <w:pBdr>
          <w:top w:val="single" w:sz="12" w:space="1" w:color="auto"/>
          <w:left w:val="single" w:sz="12" w:space="1" w:color="auto"/>
          <w:bottom w:val="single" w:sz="12" w:space="1" w:color="auto"/>
          <w:right w:val="single" w:sz="12" w:space="1" w:color="auto"/>
        </w:pBdr>
        <w:ind w:right="-144"/>
        <w:jc w:val="center"/>
        <w:rPr>
          <w:rFonts w:ascii="Garamond" w:hAnsi="Garamond"/>
          <w:b/>
        </w:rPr>
      </w:pPr>
    </w:p>
    <w:p w:rsidR="00664AE1" w:rsidRDefault="00664AE1" w:rsidP="0067675C">
      <w:pPr>
        <w:pBdr>
          <w:top w:val="single" w:sz="12" w:space="1" w:color="auto"/>
          <w:left w:val="single" w:sz="12" w:space="1" w:color="auto"/>
          <w:bottom w:val="single" w:sz="12" w:space="1" w:color="auto"/>
          <w:right w:val="single" w:sz="12" w:space="1" w:color="auto"/>
        </w:pBdr>
        <w:ind w:right="-144"/>
        <w:jc w:val="center"/>
        <w:rPr>
          <w:rFonts w:ascii="Garamond" w:hAnsi="Garamond"/>
          <w:b/>
        </w:rPr>
      </w:pPr>
    </w:p>
    <w:p w:rsidR="00664AE1" w:rsidRDefault="00664AE1" w:rsidP="0067675C">
      <w:pPr>
        <w:pBdr>
          <w:top w:val="single" w:sz="12" w:space="1" w:color="auto"/>
          <w:left w:val="single" w:sz="12" w:space="1" w:color="auto"/>
          <w:bottom w:val="single" w:sz="12" w:space="1" w:color="auto"/>
          <w:right w:val="single" w:sz="12" w:space="1" w:color="auto"/>
        </w:pBdr>
        <w:ind w:right="-144"/>
        <w:jc w:val="center"/>
        <w:rPr>
          <w:rFonts w:ascii="Garamond" w:hAnsi="Garamond"/>
          <w:b/>
        </w:rPr>
      </w:pPr>
    </w:p>
    <w:p w:rsidR="00664AE1" w:rsidRDefault="00664AE1" w:rsidP="0067675C">
      <w:pPr>
        <w:pBdr>
          <w:top w:val="single" w:sz="12" w:space="1" w:color="auto"/>
          <w:left w:val="single" w:sz="12" w:space="1" w:color="auto"/>
          <w:bottom w:val="single" w:sz="12" w:space="1" w:color="auto"/>
          <w:right w:val="single" w:sz="12" w:space="1" w:color="auto"/>
        </w:pBdr>
        <w:ind w:right="-144"/>
        <w:jc w:val="center"/>
        <w:rPr>
          <w:rFonts w:ascii="Garamond" w:hAnsi="Garamond"/>
          <w:b/>
        </w:rPr>
      </w:pPr>
    </w:p>
    <w:p w:rsidR="001208E9" w:rsidRPr="00A94E99" w:rsidRDefault="001208E9" w:rsidP="00A94E99">
      <w:pPr>
        <w:pBdr>
          <w:top w:val="single" w:sz="12" w:space="1" w:color="auto"/>
          <w:left w:val="single" w:sz="12" w:space="1" w:color="auto"/>
          <w:bottom w:val="single" w:sz="12" w:space="1" w:color="auto"/>
          <w:right w:val="single" w:sz="12" w:space="1" w:color="auto"/>
        </w:pBdr>
        <w:ind w:right="-144"/>
        <w:jc w:val="center"/>
        <w:rPr>
          <w:sz w:val="36"/>
          <w:szCs w:val="36"/>
        </w:rPr>
      </w:pPr>
      <w:r w:rsidRPr="00394684">
        <w:rPr>
          <w:sz w:val="36"/>
          <w:szCs w:val="36"/>
        </w:rPr>
        <w:t>Önlem</w:t>
      </w:r>
      <w:r w:rsidR="00351596">
        <w:rPr>
          <w:sz w:val="36"/>
          <w:szCs w:val="36"/>
        </w:rPr>
        <w:t>lerin</w:t>
      </w:r>
      <w:r w:rsidR="002B3A98" w:rsidRPr="00394684">
        <w:rPr>
          <w:sz w:val="36"/>
          <w:szCs w:val="36"/>
        </w:rPr>
        <w:t xml:space="preserve"> </w:t>
      </w:r>
      <w:r w:rsidRPr="00394684">
        <w:rPr>
          <w:sz w:val="36"/>
          <w:szCs w:val="36"/>
        </w:rPr>
        <w:t>Etkisiz Kılınması</w:t>
      </w:r>
      <w:r w:rsidR="00351596">
        <w:rPr>
          <w:sz w:val="36"/>
          <w:szCs w:val="36"/>
        </w:rPr>
        <w:t>na Karşı Soruşturma</w:t>
      </w:r>
    </w:p>
    <w:p w:rsidR="00426B53" w:rsidRDefault="006B482B" w:rsidP="0067675C">
      <w:pPr>
        <w:pBdr>
          <w:top w:val="single" w:sz="12" w:space="1" w:color="auto"/>
          <w:left w:val="single" w:sz="12" w:space="1" w:color="auto"/>
          <w:bottom w:val="single" w:sz="12" w:space="1" w:color="auto"/>
          <w:right w:val="single" w:sz="12" w:space="1" w:color="auto"/>
        </w:pBdr>
        <w:ind w:right="-144"/>
        <w:jc w:val="center"/>
        <w:rPr>
          <w:sz w:val="36"/>
          <w:szCs w:val="36"/>
        </w:rPr>
      </w:pPr>
      <w:r>
        <w:rPr>
          <w:sz w:val="36"/>
          <w:szCs w:val="36"/>
        </w:rPr>
        <w:t>Malezya</w:t>
      </w:r>
      <w:r w:rsidR="00C7799A">
        <w:rPr>
          <w:sz w:val="36"/>
          <w:szCs w:val="36"/>
        </w:rPr>
        <w:t xml:space="preserve"> </w:t>
      </w:r>
      <w:r w:rsidR="000B37B6" w:rsidRPr="00394684">
        <w:rPr>
          <w:sz w:val="36"/>
          <w:szCs w:val="36"/>
        </w:rPr>
        <w:t xml:space="preserve">Menşeli/Çıkışlı </w:t>
      </w:r>
      <w:r w:rsidR="007F2B62" w:rsidRPr="00394684">
        <w:rPr>
          <w:sz w:val="36"/>
          <w:szCs w:val="36"/>
        </w:rPr>
        <w:t>“</w:t>
      </w:r>
      <w:r>
        <w:rPr>
          <w:sz w:val="36"/>
          <w:szCs w:val="36"/>
        </w:rPr>
        <w:t xml:space="preserve">Sentetik </w:t>
      </w:r>
      <w:proofErr w:type="spellStart"/>
      <w:r>
        <w:rPr>
          <w:sz w:val="36"/>
          <w:szCs w:val="36"/>
        </w:rPr>
        <w:t>Filament</w:t>
      </w:r>
      <w:proofErr w:type="spellEnd"/>
      <w:r>
        <w:rPr>
          <w:sz w:val="36"/>
          <w:szCs w:val="36"/>
        </w:rPr>
        <w:t xml:space="preserve"> İplikten Dokunmuş Mensucat (Giyim için O</w:t>
      </w:r>
      <w:r w:rsidRPr="006B482B">
        <w:rPr>
          <w:sz w:val="36"/>
          <w:szCs w:val="36"/>
        </w:rPr>
        <w:t>lanlar)”</w:t>
      </w:r>
    </w:p>
    <w:p w:rsidR="005C638F" w:rsidRDefault="005C638F" w:rsidP="0067675C">
      <w:pPr>
        <w:pBdr>
          <w:top w:val="single" w:sz="12" w:space="1" w:color="auto"/>
          <w:left w:val="single" w:sz="12" w:space="1" w:color="auto"/>
          <w:bottom w:val="single" w:sz="12" w:space="1" w:color="auto"/>
          <w:right w:val="single" w:sz="12" w:space="1" w:color="auto"/>
        </w:pBdr>
        <w:ind w:right="-144"/>
        <w:jc w:val="center"/>
        <w:rPr>
          <w:sz w:val="36"/>
          <w:szCs w:val="36"/>
        </w:rPr>
      </w:pPr>
    </w:p>
    <w:p w:rsidR="00454873" w:rsidRDefault="00454873" w:rsidP="0067675C">
      <w:pPr>
        <w:pBdr>
          <w:top w:val="single" w:sz="12" w:space="1" w:color="auto"/>
          <w:left w:val="single" w:sz="12" w:space="1" w:color="auto"/>
          <w:bottom w:val="single" w:sz="12" w:space="1" w:color="auto"/>
          <w:right w:val="single" w:sz="12" w:space="1" w:color="auto"/>
        </w:pBdr>
        <w:ind w:right="-144"/>
        <w:jc w:val="center"/>
        <w:rPr>
          <w:sz w:val="36"/>
          <w:szCs w:val="36"/>
        </w:rPr>
      </w:pPr>
    </w:p>
    <w:p w:rsidR="00454873" w:rsidRDefault="00454873" w:rsidP="0067675C">
      <w:pPr>
        <w:pBdr>
          <w:top w:val="single" w:sz="12" w:space="1" w:color="auto"/>
          <w:left w:val="single" w:sz="12" w:space="1" w:color="auto"/>
          <w:bottom w:val="single" w:sz="12" w:space="1" w:color="auto"/>
          <w:right w:val="single" w:sz="12" w:space="1" w:color="auto"/>
        </w:pBdr>
        <w:ind w:right="-144"/>
        <w:jc w:val="center"/>
        <w:rPr>
          <w:sz w:val="36"/>
          <w:szCs w:val="36"/>
        </w:rPr>
      </w:pPr>
    </w:p>
    <w:p w:rsidR="00454873" w:rsidRDefault="00454873" w:rsidP="00454873">
      <w:pPr>
        <w:pBdr>
          <w:top w:val="single" w:sz="12" w:space="1" w:color="auto"/>
          <w:left w:val="single" w:sz="12" w:space="1" w:color="auto"/>
          <w:bottom w:val="single" w:sz="12" w:space="1" w:color="auto"/>
          <w:right w:val="single" w:sz="12" w:space="1" w:color="auto"/>
        </w:pBdr>
        <w:ind w:right="-144"/>
        <w:jc w:val="center"/>
        <w:rPr>
          <w:sz w:val="36"/>
          <w:szCs w:val="36"/>
        </w:rPr>
      </w:pPr>
      <w:r w:rsidRPr="00454873">
        <w:rPr>
          <w:sz w:val="36"/>
          <w:szCs w:val="36"/>
        </w:rPr>
        <w:t>Gizli Olmayan Nüsha</w:t>
      </w:r>
    </w:p>
    <w:p w:rsidR="007F06ED" w:rsidRDefault="007F06ED" w:rsidP="0067675C">
      <w:pPr>
        <w:pBdr>
          <w:top w:val="single" w:sz="12" w:space="1" w:color="auto"/>
          <w:left w:val="single" w:sz="12" w:space="1" w:color="auto"/>
          <w:bottom w:val="single" w:sz="12" w:space="1" w:color="auto"/>
          <w:right w:val="single" w:sz="12" w:space="1" w:color="auto"/>
        </w:pBdr>
        <w:ind w:right="-144"/>
        <w:jc w:val="center"/>
        <w:rPr>
          <w:sz w:val="36"/>
          <w:szCs w:val="36"/>
        </w:rPr>
      </w:pPr>
    </w:p>
    <w:p w:rsidR="007F06ED" w:rsidRDefault="007F06ED" w:rsidP="0067675C">
      <w:pPr>
        <w:pBdr>
          <w:top w:val="single" w:sz="12" w:space="1" w:color="auto"/>
          <w:left w:val="single" w:sz="12" w:space="1" w:color="auto"/>
          <w:bottom w:val="single" w:sz="12" w:space="1" w:color="auto"/>
          <w:right w:val="single" w:sz="12" w:space="1" w:color="auto"/>
        </w:pBdr>
        <w:ind w:right="-144"/>
        <w:jc w:val="center"/>
        <w:rPr>
          <w:sz w:val="36"/>
          <w:szCs w:val="36"/>
        </w:rPr>
      </w:pPr>
    </w:p>
    <w:p w:rsidR="00454873" w:rsidRDefault="00454873" w:rsidP="0067675C">
      <w:pPr>
        <w:pBdr>
          <w:top w:val="single" w:sz="12" w:space="1" w:color="auto"/>
          <w:left w:val="single" w:sz="12" w:space="1" w:color="auto"/>
          <w:bottom w:val="single" w:sz="12" w:space="1" w:color="auto"/>
          <w:right w:val="single" w:sz="12" w:space="1" w:color="auto"/>
        </w:pBdr>
        <w:ind w:right="-144"/>
        <w:jc w:val="center"/>
        <w:rPr>
          <w:sz w:val="36"/>
          <w:szCs w:val="36"/>
        </w:rPr>
      </w:pPr>
    </w:p>
    <w:p w:rsidR="005C638F" w:rsidRPr="007F06ED" w:rsidRDefault="005C638F" w:rsidP="005C638F">
      <w:pPr>
        <w:pBdr>
          <w:top w:val="single" w:sz="12" w:space="1" w:color="auto"/>
          <w:left w:val="single" w:sz="12" w:space="1" w:color="auto"/>
          <w:bottom w:val="single" w:sz="12" w:space="1" w:color="auto"/>
          <w:right w:val="single" w:sz="12" w:space="1" w:color="auto"/>
        </w:pBdr>
        <w:ind w:right="-144"/>
        <w:jc w:val="center"/>
        <w:rPr>
          <w:bCs/>
        </w:rPr>
      </w:pPr>
      <w:r w:rsidRPr="007F06ED">
        <w:rPr>
          <w:bCs/>
        </w:rPr>
        <w:t>İthalat Genel Müdürlüğü</w:t>
      </w:r>
    </w:p>
    <w:p w:rsidR="005C638F" w:rsidRPr="007F06ED" w:rsidRDefault="005C638F" w:rsidP="005C638F">
      <w:pPr>
        <w:pBdr>
          <w:top w:val="single" w:sz="12" w:space="1" w:color="auto"/>
          <w:left w:val="single" w:sz="12" w:space="1" w:color="auto"/>
          <w:bottom w:val="single" w:sz="12" w:space="1" w:color="auto"/>
          <w:right w:val="single" w:sz="12" w:space="1" w:color="auto"/>
        </w:pBdr>
        <w:ind w:right="-144"/>
        <w:jc w:val="center"/>
        <w:rPr>
          <w:b/>
          <w:bCs/>
        </w:rPr>
      </w:pPr>
      <w:r w:rsidRPr="007F06ED">
        <w:rPr>
          <w:bCs/>
        </w:rPr>
        <w:t>İthalat Politikalarını İzleme ve Değerlendirme Dairesi</w:t>
      </w:r>
    </w:p>
    <w:p w:rsidR="00426B53" w:rsidRPr="007F06ED" w:rsidRDefault="00426B53" w:rsidP="0067675C">
      <w:pPr>
        <w:pBdr>
          <w:top w:val="single" w:sz="12" w:space="1" w:color="auto"/>
          <w:left w:val="single" w:sz="12" w:space="1" w:color="auto"/>
          <w:bottom w:val="single" w:sz="12" w:space="1" w:color="auto"/>
          <w:right w:val="single" w:sz="12" w:space="1" w:color="auto"/>
        </w:pBdr>
        <w:ind w:right="-144"/>
        <w:jc w:val="center"/>
        <w:rPr>
          <w:b/>
        </w:rPr>
      </w:pPr>
    </w:p>
    <w:p w:rsidR="00664AE1" w:rsidRPr="007F06ED" w:rsidRDefault="00664AE1" w:rsidP="004751B1">
      <w:pPr>
        <w:pBdr>
          <w:top w:val="single" w:sz="12" w:space="1" w:color="auto"/>
          <w:left w:val="single" w:sz="12" w:space="1" w:color="auto"/>
          <w:bottom w:val="single" w:sz="12" w:space="1" w:color="auto"/>
          <w:right w:val="single" w:sz="12" w:space="1" w:color="auto"/>
        </w:pBdr>
        <w:ind w:right="-144"/>
        <w:jc w:val="center"/>
        <w:rPr>
          <w:b/>
          <w:bCs/>
        </w:rPr>
      </w:pPr>
    </w:p>
    <w:p w:rsidR="001232B2" w:rsidRDefault="001232B2" w:rsidP="004751B1">
      <w:pPr>
        <w:pBdr>
          <w:top w:val="single" w:sz="12" w:space="1" w:color="auto"/>
          <w:left w:val="single" w:sz="12" w:space="1" w:color="auto"/>
          <w:bottom w:val="single" w:sz="12" w:space="1" w:color="auto"/>
          <w:right w:val="single" w:sz="12" w:space="1" w:color="auto"/>
        </w:pBdr>
        <w:ind w:right="-144"/>
        <w:jc w:val="center"/>
        <w:rPr>
          <w:b/>
          <w:bCs/>
        </w:rPr>
      </w:pPr>
    </w:p>
    <w:p w:rsidR="001232B2" w:rsidRPr="007F06ED" w:rsidRDefault="001232B2" w:rsidP="004751B1">
      <w:pPr>
        <w:pBdr>
          <w:top w:val="single" w:sz="12" w:space="1" w:color="auto"/>
          <w:left w:val="single" w:sz="12" w:space="1" w:color="auto"/>
          <w:bottom w:val="single" w:sz="12" w:space="1" w:color="auto"/>
          <w:right w:val="single" w:sz="12" w:space="1" w:color="auto"/>
        </w:pBdr>
        <w:ind w:right="-144"/>
        <w:jc w:val="center"/>
        <w:rPr>
          <w:b/>
          <w:bCs/>
        </w:rPr>
      </w:pPr>
    </w:p>
    <w:p w:rsidR="004751B1" w:rsidRPr="007F06ED" w:rsidRDefault="00351596" w:rsidP="004751B1">
      <w:pPr>
        <w:pBdr>
          <w:top w:val="single" w:sz="12" w:space="1" w:color="auto"/>
          <w:left w:val="single" w:sz="12" w:space="1" w:color="auto"/>
          <w:bottom w:val="single" w:sz="12" w:space="1" w:color="auto"/>
          <w:right w:val="single" w:sz="12" w:space="1" w:color="auto"/>
        </w:pBdr>
        <w:ind w:right="-144"/>
        <w:jc w:val="center"/>
        <w:rPr>
          <w:b/>
          <w:bCs/>
        </w:rPr>
      </w:pPr>
      <w:r>
        <w:rPr>
          <w:b/>
          <w:bCs/>
        </w:rPr>
        <w:t>Ocak 2020</w:t>
      </w:r>
    </w:p>
    <w:p w:rsidR="007B6448" w:rsidRDefault="007B6448" w:rsidP="0067675C">
      <w:pPr>
        <w:pBdr>
          <w:top w:val="single" w:sz="12" w:space="1" w:color="auto"/>
          <w:left w:val="single" w:sz="12" w:space="1" w:color="auto"/>
          <w:bottom w:val="single" w:sz="12" w:space="1" w:color="auto"/>
          <w:right w:val="single" w:sz="12" w:space="1" w:color="auto"/>
        </w:pBdr>
        <w:ind w:right="-144"/>
        <w:jc w:val="center"/>
        <w:rPr>
          <w:rFonts w:ascii="Garamond" w:hAnsi="Garamond"/>
          <w:b/>
          <w:bCs/>
        </w:rPr>
      </w:pPr>
    </w:p>
    <w:p w:rsidR="00426B53" w:rsidRPr="00D746E2" w:rsidRDefault="00426B53" w:rsidP="0067675C">
      <w:pPr>
        <w:pBdr>
          <w:top w:val="single" w:sz="12" w:space="1" w:color="auto"/>
          <w:left w:val="single" w:sz="12" w:space="1" w:color="auto"/>
          <w:bottom w:val="single" w:sz="12" w:space="1" w:color="auto"/>
          <w:right w:val="single" w:sz="12" w:space="1" w:color="auto"/>
        </w:pBdr>
        <w:ind w:right="-144"/>
        <w:rPr>
          <w:rFonts w:ascii="Garamond" w:hAnsi="Garamond"/>
          <w:bCs/>
        </w:rPr>
      </w:pPr>
    </w:p>
    <w:p w:rsidR="00426B53" w:rsidRPr="00664AE1" w:rsidRDefault="00426B53" w:rsidP="004751B1">
      <w:pPr>
        <w:pBdr>
          <w:top w:val="single" w:sz="12" w:space="1" w:color="auto"/>
          <w:left w:val="single" w:sz="12" w:space="1" w:color="auto"/>
          <w:bottom w:val="single" w:sz="12" w:space="1" w:color="auto"/>
          <w:right w:val="single" w:sz="12" w:space="1" w:color="auto"/>
        </w:pBdr>
        <w:ind w:right="-144"/>
        <w:rPr>
          <w:bCs/>
        </w:rPr>
      </w:pPr>
    </w:p>
    <w:p w:rsidR="00231E58" w:rsidRDefault="00231E58" w:rsidP="0067675C">
      <w:pPr>
        <w:pBdr>
          <w:top w:val="single" w:sz="12" w:space="1" w:color="auto"/>
          <w:left w:val="single" w:sz="12" w:space="1" w:color="auto"/>
          <w:bottom w:val="single" w:sz="12" w:space="1" w:color="auto"/>
          <w:right w:val="single" w:sz="12" w:space="1" w:color="auto"/>
        </w:pBdr>
        <w:ind w:right="-144"/>
        <w:jc w:val="center"/>
        <w:rPr>
          <w:bCs/>
        </w:rPr>
      </w:pPr>
    </w:p>
    <w:p w:rsidR="00AB1422" w:rsidRDefault="00AB1422" w:rsidP="0067675C">
      <w:pPr>
        <w:ind w:right="-144"/>
        <w:rPr>
          <w:rFonts w:ascii="Arial" w:hAnsi="Arial" w:cs="Arial"/>
          <w:b/>
          <w:bCs/>
          <w:sz w:val="21"/>
          <w:szCs w:val="21"/>
        </w:rPr>
        <w:sectPr w:rsidR="00AB1422" w:rsidSect="002A5C2E">
          <w:headerReference w:type="default" r:id="rId9"/>
          <w:footerReference w:type="default" r:id="rId10"/>
          <w:headerReference w:type="first" r:id="rId11"/>
          <w:footerReference w:type="first" r:id="rId12"/>
          <w:pgSz w:w="11906" w:h="16838" w:code="9"/>
          <w:pgMar w:top="1417" w:right="1417" w:bottom="1417" w:left="1417" w:header="709" w:footer="709" w:gutter="0"/>
          <w:pgNumType w:start="1"/>
          <w:cols w:space="708"/>
          <w:docGrid w:linePitch="360"/>
        </w:sectPr>
      </w:pPr>
    </w:p>
    <w:p w:rsidR="00394684" w:rsidRPr="008C5155" w:rsidRDefault="00DD4B0C" w:rsidP="00DD4B0C">
      <w:pPr>
        <w:pStyle w:val="12"/>
        <w:ind w:firstLine="0"/>
        <w:rPr>
          <w:b/>
          <w:sz w:val="24"/>
          <w:szCs w:val="24"/>
        </w:rPr>
      </w:pPr>
      <w:r>
        <w:rPr>
          <w:b/>
          <w:sz w:val="24"/>
          <w:szCs w:val="24"/>
        </w:rPr>
        <w:lastRenderedPageBreak/>
        <w:t>I. İ</w:t>
      </w:r>
      <w:r w:rsidR="00394684" w:rsidRPr="008C5155">
        <w:rPr>
          <w:b/>
          <w:sz w:val="24"/>
          <w:szCs w:val="24"/>
        </w:rPr>
        <w:t xml:space="preserve">nceleme Konusu </w:t>
      </w:r>
      <w:r w:rsidR="00A26602">
        <w:rPr>
          <w:b/>
          <w:sz w:val="24"/>
          <w:szCs w:val="24"/>
        </w:rPr>
        <w:t>Eşya</w:t>
      </w:r>
    </w:p>
    <w:p w:rsidR="00394684" w:rsidRPr="008C5155" w:rsidRDefault="00394684" w:rsidP="00394684">
      <w:pPr>
        <w:pStyle w:val="12"/>
        <w:ind w:left="360" w:firstLine="0"/>
        <w:rPr>
          <w:b/>
        </w:rPr>
      </w:pPr>
    </w:p>
    <w:p w:rsidR="00352973" w:rsidRPr="008C5155" w:rsidRDefault="00394684" w:rsidP="00E3220D">
      <w:pPr>
        <w:pStyle w:val="12"/>
        <w:rPr>
          <w:sz w:val="24"/>
          <w:szCs w:val="24"/>
        </w:rPr>
      </w:pPr>
      <w:r w:rsidRPr="008C5155">
        <w:rPr>
          <w:b/>
          <w:sz w:val="24"/>
          <w:szCs w:val="24"/>
        </w:rPr>
        <w:t xml:space="preserve">MADDE 1- </w:t>
      </w:r>
      <w:r w:rsidR="00443710" w:rsidRPr="00443710">
        <w:rPr>
          <w:sz w:val="24"/>
          <w:szCs w:val="24"/>
        </w:rPr>
        <w:t>(1)</w:t>
      </w:r>
      <w:r w:rsidR="00443710">
        <w:rPr>
          <w:b/>
          <w:sz w:val="24"/>
          <w:szCs w:val="24"/>
        </w:rPr>
        <w:t xml:space="preserve"> </w:t>
      </w:r>
      <w:r w:rsidRPr="008C5155">
        <w:rPr>
          <w:sz w:val="24"/>
          <w:szCs w:val="24"/>
        </w:rPr>
        <w:t xml:space="preserve">İnceleme konusu </w:t>
      </w:r>
      <w:r w:rsidR="00A26602">
        <w:rPr>
          <w:sz w:val="24"/>
          <w:szCs w:val="24"/>
        </w:rPr>
        <w:t>eşya</w:t>
      </w:r>
      <w:r w:rsidR="00352973">
        <w:rPr>
          <w:sz w:val="24"/>
          <w:szCs w:val="24"/>
        </w:rPr>
        <w:t xml:space="preserve"> </w:t>
      </w:r>
      <w:r w:rsidR="00505A37" w:rsidRPr="00505A37">
        <w:rPr>
          <w:sz w:val="24"/>
          <w:szCs w:val="24"/>
        </w:rPr>
        <w:t xml:space="preserve">54.07 </w:t>
      </w:r>
      <w:r w:rsidR="00351596">
        <w:rPr>
          <w:sz w:val="24"/>
          <w:szCs w:val="24"/>
        </w:rPr>
        <w:t>gümrük tarife pozisyonu (GTP)</w:t>
      </w:r>
      <w:r w:rsidR="00505A37" w:rsidRPr="00505A37">
        <w:rPr>
          <w:sz w:val="24"/>
          <w:szCs w:val="24"/>
        </w:rPr>
        <w:t xml:space="preserve"> altında sınıflandırılan ve</w:t>
      </w:r>
      <w:hyperlink r:id="rId13" w:anchor="Ek1" w:history="1">
        <w:r w:rsidR="00505A37" w:rsidRPr="00505A37">
          <w:rPr>
            <w:sz w:val="24"/>
            <w:szCs w:val="24"/>
          </w:rPr>
          <w:t> Ek 1’de</w:t>
        </w:r>
      </w:hyperlink>
      <w:r w:rsidR="00505A37" w:rsidRPr="00505A37">
        <w:rPr>
          <w:sz w:val="24"/>
          <w:szCs w:val="24"/>
        </w:rPr>
        <w:t> </w:t>
      </w:r>
      <w:r w:rsidR="00C532E8">
        <w:rPr>
          <w:sz w:val="24"/>
          <w:szCs w:val="24"/>
        </w:rPr>
        <w:t>gümrük tarife istatistik pozisyonları (</w:t>
      </w:r>
      <w:r w:rsidR="00505A37" w:rsidRPr="00505A37">
        <w:rPr>
          <w:sz w:val="24"/>
          <w:szCs w:val="24"/>
        </w:rPr>
        <w:t>GTİP</w:t>
      </w:r>
      <w:r w:rsidR="00C532E8">
        <w:rPr>
          <w:sz w:val="24"/>
          <w:szCs w:val="24"/>
        </w:rPr>
        <w:t>)</w:t>
      </w:r>
      <w:r w:rsidR="00505A37" w:rsidRPr="00505A37">
        <w:rPr>
          <w:sz w:val="24"/>
          <w:szCs w:val="24"/>
        </w:rPr>
        <w:t xml:space="preserve"> belirtilen</w:t>
      </w:r>
      <w:r w:rsidR="005B41F6" w:rsidRPr="008C5155">
        <w:rPr>
          <w:sz w:val="24"/>
          <w:szCs w:val="24"/>
        </w:rPr>
        <w:t xml:space="preserve"> </w:t>
      </w:r>
      <w:r w:rsidR="006E58B5">
        <w:rPr>
          <w:sz w:val="24"/>
          <w:szCs w:val="24"/>
        </w:rPr>
        <w:t>“</w:t>
      </w:r>
      <w:r w:rsidR="00505A37" w:rsidRPr="00505A37">
        <w:rPr>
          <w:sz w:val="24"/>
          <w:szCs w:val="24"/>
        </w:rPr>
        <w:t xml:space="preserve">sentetik </w:t>
      </w:r>
      <w:proofErr w:type="spellStart"/>
      <w:r w:rsidR="00505A37" w:rsidRPr="00505A37">
        <w:rPr>
          <w:sz w:val="24"/>
          <w:szCs w:val="24"/>
        </w:rPr>
        <w:t>filament</w:t>
      </w:r>
      <w:proofErr w:type="spellEnd"/>
      <w:r w:rsidR="00505A37" w:rsidRPr="00505A37">
        <w:rPr>
          <w:sz w:val="24"/>
          <w:szCs w:val="24"/>
        </w:rPr>
        <w:t xml:space="preserve"> iplikten dokunmuş mensu</w:t>
      </w:r>
      <w:r w:rsidR="00A26602">
        <w:rPr>
          <w:sz w:val="24"/>
          <w:szCs w:val="24"/>
        </w:rPr>
        <w:t xml:space="preserve">cat </w:t>
      </w:r>
      <w:r w:rsidR="00A26602" w:rsidRPr="00505A37">
        <w:rPr>
          <w:sz w:val="24"/>
          <w:szCs w:val="24"/>
        </w:rPr>
        <w:t>(giyim için olanlar)</w:t>
      </w:r>
      <w:r w:rsidR="00A26602">
        <w:rPr>
          <w:sz w:val="24"/>
          <w:szCs w:val="24"/>
        </w:rPr>
        <w:t>” eşyasıdır.</w:t>
      </w:r>
    </w:p>
    <w:p w:rsidR="00394684" w:rsidRPr="008C5155" w:rsidRDefault="00394684" w:rsidP="00394684">
      <w:pPr>
        <w:pStyle w:val="3-normalyaz"/>
        <w:spacing w:line="240" w:lineRule="atLeast"/>
        <w:jc w:val="both"/>
      </w:pPr>
      <w:r w:rsidRPr="008C5155">
        <w:rPr>
          <w:b/>
        </w:rPr>
        <w:t xml:space="preserve">II. İnceleme Konusu </w:t>
      </w:r>
      <w:r w:rsidR="00A26602">
        <w:rPr>
          <w:b/>
        </w:rPr>
        <w:t>Eşyaya</w:t>
      </w:r>
      <w:r w:rsidRPr="008C5155">
        <w:rPr>
          <w:b/>
        </w:rPr>
        <w:t xml:space="preserve"> İlişkin Yürürlükteki Mevzuat </w:t>
      </w:r>
    </w:p>
    <w:p w:rsidR="00505A37" w:rsidRDefault="00394684" w:rsidP="00505A37">
      <w:pPr>
        <w:pStyle w:val="12"/>
        <w:rPr>
          <w:sz w:val="24"/>
          <w:szCs w:val="24"/>
        </w:rPr>
      </w:pPr>
      <w:r w:rsidRPr="00502DD4">
        <w:rPr>
          <w:b/>
          <w:sz w:val="24"/>
          <w:szCs w:val="24"/>
        </w:rPr>
        <w:t>MADDE 2-</w:t>
      </w:r>
      <w:r w:rsidRPr="00502DD4">
        <w:rPr>
          <w:sz w:val="24"/>
          <w:szCs w:val="24"/>
        </w:rPr>
        <w:t xml:space="preserve"> </w:t>
      </w:r>
      <w:r w:rsidR="00505A37" w:rsidRPr="00505A37">
        <w:rPr>
          <w:sz w:val="24"/>
          <w:szCs w:val="24"/>
        </w:rPr>
        <w:t xml:space="preserve">(1) Kore Cumhuriyeti (Güney Kore), Çin Halk Cumhuriyeti (ÇHC), Tayland Krallığı (Tayland), Malezya ve Çin </w:t>
      </w:r>
      <w:proofErr w:type="spellStart"/>
      <w:r w:rsidR="00505A37" w:rsidRPr="00505A37">
        <w:rPr>
          <w:sz w:val="24"/>
          <w:szCs w:val="24"/>
        </w:rPr>
        <w:t>Tayvanı</w:t>
      </w:r>
      <w:proofErr w:type="spellEnd"/>
      <w:r w:rsidR="00505A37" w:rsidRPr="00505A37">
        <w:rPr>
          <w:sz w:val="24"/>
          <w:szCs w:val="24"/>
        </w:rPr>
        <w:t xml:space="preserve"> menşeli </w:t>
      </w:r>
      <w:r w:rsidR="00C37A59">
        <w:rPr>
          <w:sz w:val="24"/>
          <w:szCs w:val="24"/>
        </w:rPr>
        <w:t>inceleme konusu eşya ithalatında,</w:t>
      </w:r>
      <w:r w:rsidR="00505A37" w:rsidRPr="00505A37">
        <w:rPr>
          <w:sz w:val="24"/>
          <w:szCs w:val="24"/>
        </w:rPr>
        <w:t xml:space="preserve"> 13/2/2002 tarihli ve 24670 say</w:t>
      </w:r>
      <w:r w:rsidR="00772E73">
        <w:rPr>
          <w:sz w:val="24"/>
          <w:szCs w:val="24"/>
        </w:rPr>
        <w:t xml:space="preserve">ılı Resmî </w:t>
      </w:r>
      <w:proofErr w:type="spellStart"/>
      <w:r w:rsidR="00772E73">
        <w:rPr>
          <w:sz w:val="24"/>
          <w:szCs w:val="24"/>
        </w:rPr>
        <w:t>Gazete'de</w:t>
      </w:r>
      <w:proofErr w:type="spellEnd"/>
      <w:r w:rsidR="00772E73">
        <w:rPr>
          <w:sz w:val="24"/>
          <w:szCs w:val="24"/>
        </w:rPr>
        <w:t xml:space="preserve"> yayımlanan </w:t>
      </w:r>
      <w:r w:rsidR="00505A37" w:rsidRPr="00505A37">
        <w:rPr>
          <w:sz w:val="24"/>
          <w:szCs w:val="24"/>
        </w:rPr>
        <w:t>İthalatta Haksız Rekabetin Önlenmesine İli</w:t>
      </w:r>
      <w:r w:rsidR="00772E73">
        <w:rPr>
          <w:sz w:val="24"/>
          <w:szCs w:val="24"/>
        </w:rPr>
        <w:t>şkin Tebliğ (Tebliğ No: 2002/2)</w:t>
      </w:r>
      <w:r w:rsidR="00505A37" w:rsidRPr="00505A37">
        <w:rPr>
          <w:sz w:val="24"/>
          <w:szCs w:val="24"/>
        </w:rPr>
        <w:t xml:space="preserve"> kapsamında ülke ve firma bazında değişen oranlarda </w:t>
      </w:r>
      <w:proofErr w:type="gramStart"/>
      <w:r w:rsidR="00505A37" w:rsidRPr="00505A37">
        <w:rPr>
          <w:sz w:val="24"/>
          <w:szCs w:val="24"/>
        </w:rPr>
        <w:t>dampinge</w:t>
      </w:r>
      <w:proofErr w:type="gramEnd"/>
      <w:r w:rsidR="00505A37" w:rsidRPr="00505A37">
        <w:rPr>
          <w:sz w:val="24"/>
          <w:szCs w:val="24"/>
        </w:rPr>
        <w:t xml:space="preserve"> karşı önlem yürürlüğe konmuştur. 21/1/2015 tarihli ve 29243 sayıl</w:t>
      </w:r>
      <w:r w:rsidR="00772E73">
        <w:rPr>
          <w:sz w:val="24"/>
          <w:szCs w:val="24"/>
        </w:rPr>
        <w:t xml:space="preserve">ı Resmî </w:t>
      </w:r>
      <w:proofErr w:type="spellStart"/>
      <w:r w:rsidR="00772E73">
        <w:rPr>
          <w:sz w:val="24"/>
          <w:szCs w:val="24"/>
        </w:rPr>
        <w:t>Gazete’de</w:t>
      </w:r>
      <w:proofErr w:type="spellEnd"/>
      <w:r w:rsidR="00772E73">
        <w:rPr>
          <w:sz w:val="24"/>
          <w:szCs w:val="24"/>
        </w:rPr>
        <w:t xml:space="preserve"> yayımlanan </w:t>
      </w:r>
      <w:r w:rsidR="00505A37" w:rsidRPr="00505A37">
        <w:rPr>
          <w:sz w:val="24"/>
          <w:szCs w:val="24"/>
        </w:rPr>
        <w:t>İthalatta Haksız Rekabetin Önlenmesine İli</w:t>
      </w:r>
      <w:r w:rsidR="00772E73">
        <w:rPr>
          <w:sz w:val="24"/>
          <w:szCs w:val="24"/>
        </w:rPr>
        <w:t>şkin Tebliğ (Tebliğ No: 2015/3)</w:t>
      </w:r>
      <w:r w:rsidR="00505A37" w:rsidRPr="00505A37">
        <w:rPr>
          <w:sz w:val="24"/>
          <w:szCs w:val="24"/>
        </w:rPr>
        <w:t xml:space="preserve"> ile tamamlanan nihai gözden geçirme soruşturması kapsamında anılan önle</w:t>
      </w:r>
      <w:r w:rsidR="007C3E8E">
        <w:rPr>
          <w:sz w:val="24"/>
          <w:szCs w:val="24"/>
        </w:rPr>
        <w:t>min devamına karar verilmiştir.</w:t>
      </w:r>
      <w:r w:rsidR="000F1E79">
        <w:rPr>
          <w:sz w:val="24"/>
          <w:szCs w:val="24"/>
        </w:rPr>
        <w:t xml:space="preserve"> Diğer taraftan, 4/1/2020 tarihli ve </w:t>
      </w:r>
      <w:r w:rsidR="000F1E79" w:rsidRPr="000F1E79">
        <w:rPr>
          <w:sz w:val="24"/>
          <w:szCs w:val="24"/>
        </w:rPr>
        <w:t>30998</w:t>
      </w:r>
      <w:r w:rsidR="000F1E79">
        <w:rPr>
          <w:sz w:val="24"/>
          <w:szCs w:val="24"/>
        </w:rPr>
        <w:t xml:space="preserve"> </w:t>
      </w:r>
      <w:r w:rsidR="000F1E79" w:rsidRPr="00505A37">
        <w:rPr>
          <w:sz w:val="24"/>
          <w:szCs w:val="24"/>
        </w:rPr>
        <w:t>sayıl</w:t>
      </w:r>
      <w:r w:rsidR="000F1E79">
        <w:rPr>
          <w:sz w:val="24"/>
          <w:szCs w:val="24"/>
        </w:rPr>
        <w:t xml:space="preserve">ı Resmî </w:t>
      </w:r>
      <w:proofErr w:type="spellStart"/>
      <w:r w:rsidR="000F1E79">
        <w:rPr>
          <w:sz w:val="24"/>
          <w:szCs w:val="24"/>
        </w:rPr>
        <w:t>Gazete’de</w:t>
      </w:r>
      <w:proofErr w:type="spellEnd"/>
      <w:r w:rsidR="000F1E79">
        <w:rPr>
          <w:sz w:val="24"/>
          <w:szCs w:val="24"/>
        </w:rPr>
        <w:t xml:space="preserve"> yayımlanan </w:t>
      </w:r>
      <w:r w:rsidR="000F1E79" w:rsidRPr="00505A37">
        <w:rPr>
          <w:sz w:val="24"/>
          <w:szCs w:val="24"/>
        </w:rPr>
        <w:t>İthalatta Haksız Rekabetin Önlenmesine İli</w:t>
      </w:r>
      <w:r w:rsidR="000F1E79">
        <w:rPr>
          <w:sz w:val="24"/>
          <w:szCs w:val="24"/>
        </w:rPr>
        <w:t>şkin Tebliğ (Tebliğ No: 2019/37) ile bir nihai gözden geçirme soruşturması açılmıştır.</w:t>
      </w:r>
    </w:p>
    <w:p w:rsidR="00772E73" w:rsidRPr="00772E73" w:rsidRDefault="00772E73" w:rsidP="00A94948">
      <w:pPr>
        <w:ind w:firstLine="708"/>
        <w:jc w:val="both"/>
      </w:pPr>
      <w:r>
        <w:t>(2)</w:t>
      </w:r>
      <w:r w:rsidRPr="00772E73">
        <w:t xml:space="preserve"> </w:t>
      </w:r>
      <w:r w:rsidRPr="00505A37">
        <w:t>İthalatta Haksız Rekabetin Önlenmesine İlişkin Tebliğ (Tebliğ No: 2015/3)</w:t>
      </w:r>
      <w:r>
        <w:t xml:space="preserve"> uyarınca </w:t>
      </w:r>
      <w:proofErr w:type="gramStart"/>
      <w:r>
        <w:t>dampinge</w:t>
      </w:r>
      <w:proofErr w:type="gramEnd"/>
      <w:r>
        <w:t xml:space="preserve"> karşı önlem oranı</w:t>
      </w:r>
      <w:r w:rsidR="00A94948">
        <w:t>,</w:t>
      </w:r>
      <w:r>
        <w:t xml:space="preserve"> ÇHC menşeli eşyada </w:t>
      </w:r>
      <w:r w:rsidRPr="00772E73">
        <w:t>110 gr/m</w:t>
      </w:r>
      <w:r w:rsidRPr="00A94948">
        <w:rPr>
          <w:vertAlign w:val="superscript"/>
        </w:rPr>
        <w:t>2</w:t>
      </w:r>
      <w:r w:rsidRPr="00772E73">
        <w:t xml:space="preserve"> ağ</w:t>
      </w:r>
      <w:r w:rsidR="00E75CD0">
        <w:t xml:space="preserve">ırlığının üstü için %70,44, 110 </w:t>
      </w:r>
      <w:r w:rsidRPr="00772E73">
        <w:t>gr/m</w:t>
      </w:r>
      <w:r w:rsidRPr="00A94948">
        <w:rPr>
          <w:vertAlign w:val="superscript"/>
        </w:rPr>
        <w:t>2</w:t>
      </w:r>
      <w:r w:rsidR="00E75CD0">
        <w:t xml:space="preserve"> ağırlığı ve altı için %21,13 olarak; </w:t>
      </w:r>
      <w:r w:rsidRPr="00772E73">
        <w:t>Malezy</w:t>
      </w:r>
      <w:r w:rsidR="00E75CD0">
        <w:t xml:space="preserve">a menşeli </w:t>
      </w:r>
      <w:r w:rsidR="00122BBD">
        <w:t>ve</w:t>
      </w:r>
      <w:r w:rsidR="00E75CD0">
        <w:t xml:space="preserve"> </w:t>
      </w:r>
      <w:proofErr w:type="spellStart"/>
      <w:r w:rsidR="00E75CD0">
        <w:t>Recron</w:t>
      </w:r>
      <w:proofErr w:type="spellEnd"/>
      <w:r w:rsidR="00E75CD0">
        <w:t xml:space="preserve"> </w:t>
      </w:r>
      <w:proofErr w:type="spellStart"/>
      <w:r w:rsidR="00E75CD0">
        <w:t>Sdn</w:t>
      </w:r>
      <w:proofErr w:type="spellEnd"/>
      <w:r w:rsidR="00E75CD0">
        <w:t xml:space="preserve"> </w:t>
      </w:r>
      <w:proofErr w:type="spellStart"/>
      <w:r w:rsidR="00E75CD0">
        <w:t>Bhd</w:t>
      </w:r>
      <w:proofErr w:type="spellEnd"/>
      <w:r w:rsidR="00E75CD0">
        <w:t xml:space="preserve"> firmasınca üretilen </w:t>
      </w:r>
      <w:r w:rsidRPr="00772E73">
        <w:t>eşyada 110 gr/m</w:t>
      </w:r>
      <w:r w:rsidRPr="00A94948">
        <w:rPr>
          <w:vertAlign w:val="superscript"/>
        </w:rPr>
        <w:t>2</w:t>
      </w:r>
      <w:r w:rsidRPr="00772E73">
        <w:t xml:space="preserve"> ağırlığının üstü için </w:t>
      </w:r>
      <w:r>
        <w:t>%7,76</w:t>
      </w:r>
      <w:r w:rsidRPr="00772E73">
        <w:t>, 110 gr/m</w:t>
      </w:r>
      <w:r w:rsidRPr="00A94948">
        <w:rPr>
          <w:vertAlign w:val="superscript"/>
        </w:rPr>
        <w:t xml:space="preserve">2 </w:t>
      </w:r>
      <w:r w:rsidRPr="00772E73">
        <w:t>ağırlığı ve altı için </w:t>
      </w:r>
      <w:r>
        <w:t>%2,3</w:t>
      </w:r>
      <w:r w:rsidRPr="00772E73">
        <w:t xml:space="preserve">3 olarak; Malezya menşeli diğer </w:t>
      </w:r>
      <w:r w:rsidR="00A94948">
        <w:t xml:space="preserve">firmalarca üretilen </w:t>
      </w:r>
      <w:r w:rsidRPr="00772E73">
        <w:t>eşyada ise 1</w:t>
      </w:r>
      <w:r w:rsidR="00A94948">
        <w:t>1</w:t>
      </w:r>
      <w:r w:rsidRPr="00772E73">
        <w:t>0 gr/m</w:t>
      </w:r>
      <w:r w:rsidRPr="00A94948">
        <w:rPr>
          <w:vertAlign w:val="superscript"/>
        </w:rPr>
        <w:t>2</w:t>
      </w:r>
      <w:r w:rsidRPr="00772E73">
        <w:t xml:space="preserve"> ağırlığının üstü için </w:t>
      </w:r>
      <w:r>
        <w:t>%15,93</w:t>
      </w:r>
      <w:r w:rsidRPr="00772E73">
        <w:t>, 110 gr/m</w:t>
      </w:r>
      <w:r w:rsidRPr="00A94948">
        <w:rPr>
          <w:vertAlign w:val="superscript"/>
        </w:rPr>
        <w:t>2</w:t>
      </w:r>
      <w:r w:rsidRPr="00772E73">
        <w:t xml:space="preserve"> ağırlığı ve altı için %</w:t>
      </w:r>
      <w:r>
        <w:t>4,78</w:t>
      </w:r>
      <w:r w:rsidRPr="00772E73">
        <w:t xml:space="preserve"> olarak belirlenmiştir. </w:t>
      </w:r>
    </w:p>
    <w:p w:rsidR="00505A37" w:rsidRPr="00505A37" w:rsidRDefault="00772E73" w:rsidP="00505A37">
      <w:pPr>
        <w:pStyle w:val="12"/>
        <w:rPr>
          <w:sz w:val="24"/>
          <w:szCs w:val="24"/>
        </w:rPr>
      </w:pPr>
      <w:r>
        <w:rPr>
          <w:sz w:val="24"/>
          <w:szCs w:val="24"/>
        </w:rPr>
        <w:t>(3</w:t>
      </w:r>
      <w:r w:rsidR="00505A37" w:rsidRPr="00505A37">
        <w:rPr>
          <w:sz w:val="24"/>
          <w:szCs w:val="24"/>
        </w:rPr>
        <w:t xml:space="preserve">) 18/11/2006 tarih ve 26350 sayılı Resmî </w:t>
      </w:r>
      <w:proofErr w:type="spellStart"/>
      <w:r w:rsidR="00505A37" w:rsidRPr="00505A37">
        <w:rPr>
          <w:sz w:val="24"/>
          <w:szCs w:val="24"/>
        </w:rPr>
        <w:t>Gaz</w:t>
      </w:r>
      <w:r>
        <w:rPr>
          <w:sz w:val="24"/>
          <w:szCs w:val="24"/>
        </w:rPr>
        <w:t>ete'de</w:t>
      </w:r>
      <w:proofErr w:type="spellEnd"/>
      <w:r>
        <w:rPr>
          <w:sz w:val="24"/>
          <w:szCs w:val="24"/>
        </w:rPr>
        <w:t xml:space="preserve"> yayımlanan </w:t>
      </w:r>
      <w:r w:rsidR="00505A37" w:rsidRPr="00505A37">
        <w:rPr>
          <w:sz w:val="24"/>
          <w:szCs w:val="24"/>
        </w:rPr>
        <w:t>İthalatta Haksız Rekabetin Önlenmesine İli</w:t>
      </w:r>
      <w:r>
        <w:rPr>
          <w:sz w:val="24"/>
          <w:szCs w:val="24"/>
        </w:rPr>
        <w:t>şkin Tebliğ (Tebliğ No:2006/30)</w:t>
      </w:r>
      <w:r w:rsidR="00505A37" w:rsidRPr="00505A37">
        <w:rPr>
          <w:sz w:val="24"/>
          <w:szCs w:val="24"/>
        </w:rPr>
        <w:t xml:space="preserve"> ile ÇHC menşeli eşya için uygulanan </w:t>
      </w:r>
      <w:proofErr w:type="gramStart"/>
      <w:r w:rsidR="00505A37" w:rsidRPr="00505A37">
        <w:rPr>
          <w:sz w:val="24"/>
          <w:szCs w:val="24"/>
        </w:rPr>
        <w:t>dampinge</w:t>
      </w:r>
      <w:proofErr w:type="gramEnd"/>
      <w:r w:rsidR="00505A37" w:rsidRPr="00505A37">
        <w:rPr>
          <w:sz w:val="24"/>
          <w:szCs w:val="24"/>
        </w:rPr>
        <w:t xml:space="preserve"> karşı önlem Filipinler </w:t>
      </w:r>
      <w:r w:rsidR="00351596">
        <w:rPr>
          <w:sz w:val="24"/>
          <w:szCs w:val="24"/>
        </w:rPr>
        <w:t xml:space="preserve">Cumhuriyeti </w:t>
      </w:r>
      <w:r w:rsidR="00505A37" w:rsidRPr="00505A37">
        <w:rPr>
          <w:sz w:val="24"/>
          <w:szCs w:val="24"/>
        </w:rPr>
        <w:t>menşeli</w:t>
      </w:r>
      <w:r w:rsidR="00A05C96">
        <w:rPr>
          <w:sz w:val="24"/>
          <w:szCs w:val="24"/>
        </w:rPr>
        <w:t>/çıkışlı</w:t>
      </w:r>
      <w:r w:rsidR="00505A37" w:rsidRPr="00505A37">
        <w:rPr>
          <w:sz w:val="24"/>
          <w:szCs w:val="24"/>
        </w:rPr>
        <w:t xml:space="preserve"> </w:t>
      </w:r>
      <w:r w:rsidR="00CE0479">
        <w:rPr>
          <w:sz w:val="24"/>
          <w:szCs w:val="24"/>
        </w:rPr>
        <w:t>eşyaya</w:t>
      </w:r>
      <w:r w:rsidR="00505A37" w:rsidRPr="00505A37">
        <w:rPr>
          <w:sz w:val="24"/>
          <w:szCs w:val="24"/>
        </w:rPr>
        <w:t xml:space="preserve"> teşmil edilmiştir.</w:t>
      </w:r>
    </w:p>
    <w:p w:rsidR="00505A37" w:rsidRDefault="00A05C96" w:rsidP="00505A37">
      <w:pPr>
        <w:pStyle w:val="12"/>
        <w:rPr>
          <w:sz w:val="24"/>
          <w:szCs w:val="24"/>
        </w:rPr>
      </w:pPr>
      <w:r>
        <w:rPr>
          <w:sz w:val="24"/>
          <w:szCs w:val="24"/>
        </w:rPr>
        <w:t>(</w:t>
      </w:r>
      <w:r w:rsidR="00772E73">
        <w:rPr>
          <w:sz w:val="24"/>
          <w:szCs w:val="24"/>
        </w:rPr>
        <w:t>4</w:t>
      </w:r>
      <w:r>
        <w:rPr>
          <w:sz w:val="24"/>
          <w:szCs w:val="24"/>
        </w:rPr>
        <w:t>) 22/</w:t>
      </w:r>
      <w:r w:rsidR="00505A37" w:rsidRPr="00505A37">
        <w:rPr>
          <w:sz w:val="24"/>
          <w:szCs w:val="24"/>
        </w:rPr>
        <w:t>8/2015 tarihli ve 29453 say</w:t>
      </w:r>
      <w:r w:rsidR="00772E73">
        <w:rPr>
          <w:sz w:val="24"/>
          <w:szCs w:val="24"/>
        </w:rPr>
        <w:t>ılı Resm</w:t>
      </w:r>
      <w:r w:rsidR="00351596">
        <w:rPr>
          <w:sz w:val="24"/>
          <w:szCs w:val="24"/>
        </w:rPr>
        <w:t>î</w:t>
      </w:r>
      <w:r w:rsidR="00772E73">
        <w:rPr>
          <w:sz w:val="24"/>
          <w:szCs w:val="24"/>
        </w:rPr>
        <w:t xml:space="preserve"> </w:t>
      </w:r>
      <w:proofErr w:type="spellStart"/>
      <w:r w:rsidR="00772E73">
        <w:rPr>
          <w:sz w:val="24"/>
          <w:szCs w:val="24"/>
        </w:rPr>
        <w:t>Gazete’de</w:t>
      </w:r>
      <w:proofErr w:type="spellEnd"/>
      <w:r w:rsidR="00772E73">
        <w:rPr>
          <w:sz w:val="24"/>
          <w:szCs w:val="24"/>
        </w:rPr>
        <w:t xml:space="preserve"> yayımlanan </w:t>
      </w:r>
      <w:r w:rsidR="00505A37" w:rsidRPr="00505A37">
        <w:rPr>
          <w:sz w:val="24"/>
          <w:szCs w:val="24"/>
        </w:rPr>
        <w:t>İthalatta Haksız Rekabetin Önlenmesine İli</w:t>
      </w:r>
      <w:r w:rsidR="00772E73">
        <w:rPr>
          <w:sz w:val="24"/>
          <w:szCs w:val="24"/>
        </w:rPr>
        <w:t>şkin Tebliğ (Tebliğ No:2015/41)</w:t>
      </w:r>
      <w:r w:rsidR="00505A37" w:rsidRPr="00505A37">
        <w:rPr>
          <w:sz w:val="24"/>
          <w:szCs w:val="24"/>
        </w:rPr>
        <w:t xml:space="preserve"> çerçevesinde, ÇHC menşeli eşya için uygulanan </w:t>
      </w:r>
      <w:proofErr w:type="gramStart"/>
      <w:r w:rsidR="00505A37" w:rsidRPr="00505A37">
        <w:rPr>
          <w:sz w:val="24"/>
          <w:szCs w:val="24"/>
        </w:rPr>
        <w:t>dampinge</w:t>
      </w:r>
      <w:proofErr w:type="gramEnd"/>
      <w:r w:rsidR="00505A37" w:rsidRPr="00505A37">
        <w:rPr>
          <w:sz w:val="24"/>
          <w:szCs w:val="24"/>
        </w:rPr>
        <w:t xml:space="preserve"> karşı önlem Bulgaristan </w:t>
      </w:r>
      <w:r w:rsidR="00351596">
        <w:rPr>
          <w:sz w:val="24"/>
          <w:szCs w:val="24"/>
        </w:rPr>
        <w:t>Cumhuriyeti</w:t>
      </w:r>
      <w:r w:rsidR="00351596" w:rsidRPr="00505A37">
        <w:rPr>
          <w:sz w:val="24"/>
          <w:szCs w:val="24"/>
        </w:rPr>
        <w:t xml:space="preserve"> </w:t>
      </w:r>
      <w:r w:rsidR="00505A37" w:rsidRPr="00505A37">
        <w:rPr>
          <w:sz w:val="24"/>
          <w:szCs w:val="24"/>
        </w:rPr>
        <w:t>menşeli</w:t>
      </w:r>
      <w:r>
        <w:rPr>
          <w:sz w:val="24"/>
          <w:szCs w:val="24"/>
        </w:rPr>
        <w:t>/çıkışlı</w:t>
      </w:r>
      <w:r w:rsidR="00505A37" w:rsidRPr="00505A37">
        <w:rPr>
          <w:sz w:val="24"/>
          <w:szCs w:val="24"/>
        </w:rPr>
        <w:t xml:space="preserve"> </w:t>
      </w:r>
      <w:r w:rsidR="00A26602">
        <w:rPr>
          <w:sz w:val="24"/>
          <w:szCs w:val="24"/>
        </w:rPr>
        <w:t>eşyaya</w:t>
      </w:r>
      <w:r w:rsidR="00505A37" w:rsidRPr="00505A37">
        <w:rPr>
          <w:sz w:val="24"/>
          <w:szCs w:val="24"/>
        </w:rPr>
        <w:t xml:space="preserve"> teşmil edilmiştir.</w:t>
      </w:r>
    </w:p>
    <w:p w:rsidR="00A05C96" w:rsidRDefault="00772E73" w:rsidP="00A05C96">
      <w:pPr>
        <w:pStyle w:val="12"/>
        <w:rPr>
          <w:sz w:val="24"/>
          <w:szCs w:val="24"/>
        </w:rPr>
      </w:pPr>
      <w:r>
        <w:rPr>
          <w:sz w:val="24"/>
          <w:szCs w:val="24"/>
        </w:rPr>
        <w:t>(5</w:t>
      </w:r>
      <w:r w:rsidR="00A05C96">
        <w:rPr>
          <w:sz w:val="24"/>
          <w:szCs w:val="24"/>
        </w:rPr>
        <w:t>) 7/5/2019</w:t>
      </w:r>
      <w:r w:rsidR="00A05C96" w:rsidRPr="00505A37">
        <w:rPr>
          <w:sz w:val="24"/>
          <w:szCs w:val="24"/>
        </w:rPr>
        <w:t xml:space="preserve"> tarihli ve </w:t>
      </w:r>
      <w:r w:rsidR="00A05C96">
        <w:rPr>
          <w:sz w:val="24"/>
          <w:szCs w:val="24"/>
        </w:rPr>
        <w:t>30767</w:t>
      </w:r>
      <w:r w:rsidR="00A05C96" w:rsidRPr="00505A37">
        <w:rPr>
          <w:sz w:val="24"/>
          <w:szCs w:val="24"/>
        </w:rPr>
        <w:t xml:space="preserve"> say</w:t>
      </w:r>
      <w:r>
        <w:rPr>
          <w:sz w:val="24"/>
          <w:szCs w:val="24"/>
        </w:rPr>
        <w:t>ılı Resm</w:t>
      </w:r>
      <w:r w:rsidR="00351596">
        <w:rPr>
          <w:sz w:val="24"/>
          <w:szCs w:val="24"/>
        </w:rPr>
        <w:t>î</w:t>
      </w:r>
      <w:r>
        <w:rPr>
          <w:sz w:val="24"/>
          <w:szCs w:val="24"/>
        </w:rPr>
        <w:t xml:space="preserve"> </w:t>
      </w:r>
      <w:proofErr w:type="spellStart"/>
      <w:r>
        <w:rPr>
          <w:sz w:val="24"/>
          <w:szCs w:val="24"/>
        </w:rPr>
        <w:t>Gazete’de</w:t>
      </w:r>
      <w:proofErr w:type="spellEnd"/>
      <w:r>
        <w:rPr>
          <w:sz w:val="24"/>
          <w:szCs w:val="24"/>
        </w:rPr>
        <w:t xml:space="preserve"> yayımlanan </w:t>
      </w:r>
      <w:r w:rsidR="00A05C96" w:rsidRPr="00505A37">
        <w:rPr>
          <w:sz w:val="24"/>
          <w:szCs w:val="24"/>
        </w:rPr>
        <w:t>İthalatta Haksız Rekabetin Önlenmesin</w:t>
      </w:r>
      <w:r w:rsidR="00A05C96">
        <w:rPr>
          <w:sz w:val="24"/>
          <w:szCs w:val="24"/>
        </w:rPr>
        <w:t>e İlişkin Tebliğ (Tebliğ No:2019/15</w:t>
      </w:r>
      <w:r>
        <w:rPr>
          <w:sz w:val="24"/>
          <w:szCs w:val="24"/>
        </w:rPr>
        <w:t>)</w:t>
      </w:r>
      <w:r w:rsidR="00A05C96" w:rsidRPr="00505A37">
        <w:rPr>
          <w:sz w:val="24"/>
          <w:szCs w:val="24"/>
        </w:rPr>
        <w:t xml:space="preserve"> çerçevesinde, ÇHC menşeli eşya için uygulanan </w:t>
      </w:r>
      <w:proofErr w:type="gramStart"/>
      <w:r w:rsidR="00A05C96" w:rsidRPr="00505A37">
        <w:rPr>
          <w:sz w:val="24"/>
          <w:szCs w:val="24"/>
        </w:rPr>
        <w:t>dampinge</w:t>
      </w:r>
      <w:proofErr w:type="gramEnd"/>
      <w:r w:rsidR="00A05C96" w:rsidRPr="00505A37">
        <w:rPr>
          <w:sz w:val="24"/>
          <w:szCs w:val="24"/>
        </w:rPr>
        <w:t xml:space="preserve"> karşı önlem </w:t>
      </w:r>
      <w:r w:rsidR="00A05C96">
        <w:rPr>
          <w:sz w:val="24"/>
          <w:szCs w:val="24"/>
        </w:rPr>
        <w:t>Yunanistan</w:t>
      </w:r>
      <w:r w:rsidR="00A05C96" w:rsidRPr="00505A37">
        <w:rPr>
          <w:sz w:val="24"/>
          <w:szCs w:val="24"/>
        </w:rPr>
        <w:t xml:space="preserve"> menşeli</w:t>
      </w:r>
      <w:r w:rsidR="00A05C96">
        <w:rPr>
          <w:sz w:val="24"/>
          <w:szCs w:val="24"/>
        </w:rPr>
        <w:t>/çıkışlı</w:t>
      </w:r>
      <w:r w:rsidR="00A05C96" w:rsidRPr="00505A37">
        <w:rPr>
          <w:sz w:val="24"/>
          <w:szCs w:val="24"/>
        </w:rPr>
        <w:t xml:space="preserve"> </w:t>
      </w:r>
      <w:r w:rsidR="00CE0479">
        <w:rPr>
          <w:sz w:val="24"/>
          <w:szCs w:val="24"/>
        </w:rPr>
        <w:t>eşyaya</w:t>
      </w:r>
      <w:r w:rsidR="00A05C96" w:rsidRPr="00505A37">
        <w:rPr>
          <w:sz w:val="24"/>
          <w:szCs w:val="24"/>
        </w:rPr>
        <w:t xml:space="preserve"> teşmil edilmiştir.</w:t>
      </w:r>
    </w:p>
    <w:p w:rsidR="00505A37" w:rsidRPr="00505A37" w:rsidRDefault="00772E73" w:rsidP="00505A37">
      <w:pPr>
        <w:pStyle w:val="12"/>
        <w:rPr>
          <w:sz w:val="24"/>
          <w:szCs w:val="24"/>
        </w:rPr>
      </w:pPr>
      <w:r>
        <w:rPr>
          <w:sz w:val="24"/>
          <w:szCs w:val="24"/>
        </w:rPr>
        <w:t>(6</w:t>
      </w:r>
      <w:r w:rsidR="006E58B5">
        <w:rPr>
          <w:sz w:val="24"/>
          <w:szCs w:val="24"/>
        </w:rPr>
        <w:t>) İnceleme konusu eşyanın</w:t>
      </w:r>
      <w:r w:rsidR="00505A37" w:rsidRPr="00505A37">
        <w:rPr>
          <w:sz w:val="24"/>
          <w:szCs w:val="24"/>
        </w:rPr>
        <w:t xml:space="preserve"> </w:t>
      </w:r>
      <w:r w:rsidR="00A05C96">
        <w:rPr>
          <w:sz w:val="24"/>
          <w:szCs w:val="24"/>
        </w:rPr>
        <w:t>Malezya menşeli it</w:t>
      </w:r>
      <w:r w:rsidR="00A94948">
        <w:rPr>
          <w:sz w:val="24"/>
          <w:szCs w:val="24"/>
        </w:rPr>
        <w:t>halatında</w:t>
      </w:r>
      <w:r w:rsidR="00A05C96">
        <w:rPr>
          <w:sz w:val="24"/>
          <w:szCs w:val="24"/>
        </w:rPr>
        <w:t xml:space="preserve"> gümrük vergisi </w:t>
      </w:r>
      <w:r w:rsidR="00A94948">
        <w:rPr>
          <w:sz w:val="24"/>
          <w:szCs w:val="24"/>
        </w:rPr>
        <w:t xml:space="preserve">oranı </w:t>
      </w:r>
      <w:r w:rsidR="007C3E8E">
        <w:rPr>
          <w:sz w:val="24"/>
          <w:szCs w:val="24"/>
        </w:rPr>
        <w:t>%0 - %2,7</w:t>
      </w:r>
      <w:r w:rsidR="000B5B26">
        <w:rPr>
          <w:sz w:val="24"/>
          <w:szCs w:val="24"/>
        </w:rPr>
        <w:t xml:space="preserve">; </w:t>
      </w:r>
      <w:r w:rsidR="00505A37" w:rsidRPr="00505A37">
        <w:rPr>
          <w:sz w:val="24"/>
          <w:szCs w:val="24"/>
        </w:rPr>
        <w:t>diğer ülkeler</w:t>
      </w:r>
      <w:r w:rsidR="000B5B26">
        <w:rPr>
          <w:sz w:val="24"/>
          <w:szCs w:val="24"/>
        </w:rPr>
        <w:t xml:space="preserve"> menşeli ithalatında</w:t>
      </w:r>
      <w:r w:rsidR="00A05C96">
        <w:rPr>
          <w:sz w:val="24"/>
          <w:szCs w:val="24"/>
        </w:rPr>
        <w:t xml:space="preserve"> </w:t>
      </w:r>
      <w:r w:rsidR="00505A37" w:rsidRPr="00505A37">
        <w:rPr>
          <w:sz w:val="24"/>
          <w:szCs w:val="24"/>
        </w:rPr>
        <w:t>%8</w:t>
      </w:r>
      <w:r w:rsidR="00A05C96">
        <w:rPr>
          <w:sz w:val="24"/>
          <w:szCs w:val="24"/>
        </w:rPr>
        <w:t>’dir.</w:t>
      </w:r>
    </w:p>
    <w:p w:rsidR="00505A37" w:rsidRPr="00505A37" w:rsidRDefault="00505A37" w:rsidP="00505A37">
      <w:pPr>
        <w:pStyle w:val="12"/>
        <w:rPr>
          <w:sz w:val="24"/>
          <w:szCs w:val="24"/>
        </w:rPr>
      </w:pPr>
      <w:r w:rsidRPr="00505A37">
        <w:rPr>
          <w:sz w:val="24"/>
          <w:szCs w:val="24"/>
        </w:rPr>
        <w:t xml:space="preserve"> </w:t>
      </w:r>
      <w:r w:rsidR="00772E73">
        <w:rPr>
          <w:sz w:val="24"/>
          <w:szCs w:val="24"/>
        </w:rPr>
        <w:t>(7</w:t>
      </w:r>
      <w:r w:rsidRPr="00505A37">
        <w:rPr>
          <w:sz w:val="24"/>
          <w:szCs w:val="24"/>
        </w:rPr>
        <w:t>) Bun</w:t>
      </w:r>
      <w:r w:rsidR="00A05C96">
        <w:rPr>
          <w:sz w:val="24"/>
          <w:szCs w:val="24"/>
        </w:rPr>
        <w:t>a ilaveten</w:t>
      </w:r>
      <w:r w:rsidRPr="00505A37">
        <w:rPr>
          <w:sz w:val="24"/>
          <w:szCs w:val="24"/>
        </w:rPr>
        <w:t>, 15/09/20</w:t>
      </w:r>
      <w:r w:rsidR="00351596">
        <w:rPr>
          <w:sz w:val="24"/>
          <w:szCs w:val="24"/>
        </w:rPr>
        <w:t>11 tarihli ve 28055 sayılı Resmî</w:t>
      </w:r>
      <w:r w:rsidRPr="00505A37">
        <w:rPr>
          <w:sz w:val="24"/>
          <w:szCs w:val="24"/>
        </w:rPr>
        <w:t xml:space="preserve"> </w:t>
      </w:r>
      <w:proofErr w:type="spellStart"/>
      <w:r w:rsidRPr="00505A37">
        <w:rPr>
          <w:sz w:val="24"/>
          <w:szCs w:val="24"/>
        </w:rPr>
        <w:t>Gazete’de</w:t>
      </w:r>
      <w:proofErr w:type="spellEnd"/>
      <w:r w:rsidRPr="00505A37">
        <w:rPr>
          <w:sz w:val="24"/>
          <w:szCs w:val="24"/>
        </w:rPr>
        <w:t xml:space="preserve"> yayımlanan 2011/2203 sayılı İthalat Rejimi Kararı’na Ek Karar </w:t>
      </w:r>
      <w:r w:rsidR="00122BBD">
        <w:rPr>
          <w:sz w:val="24"/>
          <w:szCs w:val="24"/>
        </w:rPr>
        <w:t>uyarınca</w:t>
      </w:r>
      <w:r w:rsidRPr="00505A37">
        <w:rPr>
          <w:sz w:val="24"/>
          <w:szCs w:val="24"/>
        </w:rPr>
        <w:t xml:space="preserve">, inceleme konusu eşyadan Avrupa Birliği veya serbest ticaret anlaşması yapılan ülkeler menşeli olmayanların ithalinde değişen oranlarda ilave gümrük vergisi </w:t>
      </w:r>
      <w:r w:rsidR="00122BBD">
        <w:rPr>
          <w:sz w:val="24"/>
          <w:szCs w:val="24"/>
        </w:rPr>
        <w:t>uygulanmaktadır.</w:t>
      </w:r>
    </w:p>
    <w:p w:rsidR="00505A37" w:rsidRDefault="00772E73" w:rsidP="00505A37">
      <w:pPr>
        <w:pStyle w:val="12"/>
        <w:rPr>
          <w:sz w:val="24"/>
          <w:szCs w:val="24"/>
        </w:rPr>
      </w:pPr>
      <w:r>
        <w:rPr>
          <w:sz w:val="24"/>
          <w:szCs w:val="24"/>
        </w:rPr>
        <w:t>(8) Ayrıca, 31/12/2018</w:t>
      </w:r>
      <w:r w:rsidR="00505A37" w:rsidRPr="00505A37">
        <w:rPr>
          <w:sz w:val="24"/>
          <w:szCs w:val="24"/>
        </w:rPr>
        <w:t xml:space="preserve"> tarihli ve </w:t>
      </w:r>
      <w:r w:rsidRPr="00772E73">
        <w:rPr>
          <w:sz w:val="24"/>
          <w:szCs w:val="24"/>
        </w:rPr>
        <w:t xml:space="preserve">30642 (4. Mükerrer) </w:t>
      </w:r>
      <w:r w:rsidR="00351596">
        <w:rPr>
          <w:sz w:val="24"/>
          <w:szCs w:val="24"/>
        </w:rPr>
        <w:t>sayılı Resmî</w:t>
      </w:r>
      <w:r w:rsidR="00505A37" w:rsidRPr="00505A37">
        <w:rPr>
          <w:sz w:val="24"/>
          <w:szCs w:val="24"/>
        </w:rPr>
        <w:t xml:space="preserve"> </w:t>
      </w:r>
      <w:proofErr w:type="spellStart"/>
      <w:r w:rsidR="00505A37" w:rsidRPr="00505A37">
        <w:rPr>
          <w:sz w:val="24"/>
          <w:szCs w:val="24"/>
        </w:rPr>
        <w:t>Gazete’d</w:t>
      </w:r>
      <w:r>
        <w:rPr>
          <w:sz w:val="24"/>
          <w:szCs w:val="24"/>
        </w:rPr>
        <w:t>e</w:t>
      </w:r>
      <w:proofErr w:type="spellEnd"/>
      <w:r>
        <w:rPr>
          <w:sz w:val="24"/>
          <w:szCs w:val="24"/>
        </w:rPr>
        <w:t xml:space="preserve"> yayımlanarak yürürlüğe giren </w:t>
      </w:r>
      <w:r w:rsidR="00505A37" w:rsidRPr="00505A37">
        <w:rPr>
          <w:sz w:val="24"/>
          <w:szCs w:val="24"/>
        </w:rPr>
        <w:t>İthalatta Gözetim Uygulamasın</w:t>
      </w:r>
      <w:r>
        <w:rPr>
          <w:sz w:val="24"/>
          <w:szCs w:val="24"/>
        </w:rPr>
        <w:t>a İlişkin Tebliğ (Tebliğ No:2019/1)</w:t>
      </w:r>
      <w:r w:rsidR="00505A37" w:rsidRPr="00505A37">
        <w:rPr>
          <w:sz w:val="24"/>
          <w:szCs w:val="24"/>
        </w:rPr>
        <w:t xml:space="preserve"> hükümleri çerçevesinde inceleme konusu eşyanın ithalatı kayda </w:t>
      </w:r>
      <w:r w:rsidR="008B4735">
        <w:rPr>
          <w:sz w:val="24"/>
          <w:szCs w:val="24"/>
        </w:rPr>
        <w:t>alma uygulamasına tabidir.</w:t>
      </w:r>
    </w:p>
    <w:p w:rsidR="00505A37" w:rsidRPr="008C5155" w:rsidRDefault="00505A37" w:rsidP="00351596">
      <w:pPr>
        <w:pStyle w:val="12"/>
        <w:ind w:firstLine="0"/>
        <w:rPr>
          <w:b/>
        </w:rPr>
      </w:pPr>
    </w:p>
    <w:p w:rsidR="00394684" w:rsidRPr="008C5155" w:rsidRDefault="00394684" w:rsidP="00E3220D">
      <w:pPr>
        <w:outlineLvl w:val="2"/>
        <w:rPr>
          <w:b/>
        </w:rPr>
      </w:pPr>
      <w:bookmarkStart w:id="0" w:name="_Toc290891036"/>
      <w:r w:rsidRPr="008C5155">
        <w:rPr>
          <w:b/>
        </w:rPr>
        <w:t>III. İnceleme Kapsamı</w:t>
      </w:r>
      <w:bookmarkEnd w:id="0"/>
      <w:r w:rsidRPr="008C5155">
        <w:rPr>
          <w:b/>
        </w:rPr>
        <w:t xml:space="preserve"> </w:t>
      </w:r>
    </w:p>
    <w:p w:rsidR="002E285E" w:rsidRPr="008C5155" w:rsidRDefault="00394684" w:rsidP="00287ADD">
      <w:pPr>
        <w:pStyle w:val="12"/>
        <w:rPr>
          <w:sz w:val="24"/>
          <w:szCs w:val="24"/>
        </w:rPr>
      </w:pPr>
      <w:r w:rsidRPr="002207AF">
        <w:rPr>
          <w:b/>
          <w:sz w:val="24"/>
          <w:szCs w:val="24"/>
        </w:rPr>
        <w:t>MADDE 3-</w:t>
      </w:r>
      <w:r w:rsidR="00C37A59">
        <w:rPr>
          <w:sz w:val="24"/>
          <w:szCs w:val="24"/>
        </w:rPr>
        <w:t xml:space="preserve"> (1) ÇHC menşeli inceleme konusu eşya ithalatında </w:t>
      </w:r>
      <w:r w:rsidR="00C37A59" w:rsidRPr="00505A37">
        <w:rPr>
          <w:sz w:val="24"/>
          <w:szCs w:val="24"/>
        </w:rPr>
        <w:t>İthalatta Haksız Rekabetin Önlenmesine İlişkin Tebliğ (Tebliğ No: 2015/3)</w:t>
      </w:r>
      <w:r w:rsidR="00C37A59">
        <w:rPr>
          <w:sz w:val="24"/>
          <w:szCs w:val="24"/>
        </w:rPr>
        <w:t xml:space="preserve"> kapsamında uygulanmakta olan </w:t>
      </w:r>
      <w:proofErr w:type="gramStart"/>
      <w:r w:rsidR="00C37A59">
        <w:rPr>
          <w:sz w:val="24"/>
          <w:szCs w:val="24"/>
        </w:rPr>
        <w:t>dampinge</w:t>
      </w:r>
      <w:proofErr w:type="gramEnd"/>
      <w:r w:rsidR="00C37A59">
        <w:rPr>
          <w:sz w:val="24"/>
          <w:szCs w:val="24"/>
        </w:rPr>
        <w:t xml:space="preserve"> karşı önlemin</w:t>
      </w:r>
      <w:r w:rsidR="00D14E9B">
        <w:rPr>
          <w:sz w:val="24"/>
          <w:szCs w:val="24"/>
        </w:rPr>
        <w:t xml:space="preserve">, </w:t>
      </w:r>
      <w:r w:rsidR="00697937">
        <w:rPr>
          <w:sz w:val="24"/>
          <w:szCs w:val="24"/>
        </w:rPr>
        <w:t xml:space="preserve">aynı Tebliğ kapsamında </w:t>
      </w:r>
      <w:r w:rsidR="00D14E9B">
        <w:rPr>
          <w:sz w:val="24"/>
          <w:szCs w:val="24"/>
        </w:rPr>
        <w:t xml:space="preserve">daha düşük </w:t>
      </w:r>
      <w:r w:rsidR="00697937">
        <w:rPr>
          <w:sz w:val="24"/>
          <w:szCs w:val="24"/>
        </w:rPr>
        <w:t xml:space="preserve">oranda </w:t>
      </w:r>
      <w:r w:rsidR="00D14E9B">
        <w:rPr>
          <w:sz w:val="24"/>
          <w:szCs w:val="24"/>
        </w:rPr>
        <w:t>da</w:t>
      </w:r>
      <w:r w:rsidR="00697937">
        <w:rPr>
          <w:sz w:val="24"/>
          <w:szCs w:val="24"/>
        </w:rPr>
        <w:t xml:space="preserve">mpinge karşı önleme </w:t>
      </w:r>
      <w:r w:rsidR="00697937">
        <w:rPr>
          <w:sz w:val="24"/>
          <w:szCs w:val="24"/>
        </w:rPr>
        <w:lastRenderedPageBreak/>
        <w:t>tabi olan</w:t>
      </w:r>
      <w:r w:rsidR="00C37A59">
        <w:rPr>
          <w:sz w:val="24"/>
          <w:szCs w:val="24"/>
        </w:rPr>
        <w:t xml:space="preserve"> Malezya</w:t>
      </w:r>
      <w:r w:rsidRPr="002207AF">
        <w:rPr>
          <w:b/>
          <w:sz w:val="24"/>
          <w:szCs w:val="24"/>
        </w:rPr>
        <w:t xml:space="preserve"> </w:t>
      </w:r>
      <w:r w:rsidRPr="002207AF">
        <w:rPr>
          <w:sz w:val="24"/>
          <w:szCs w:val="24"/>
        </w:rPr>
        <w:t>menşeli</w:t>
      </w:r>
      <w:r w:rsidR="00671DB2" w:rsidRPr="002207AF">
        <w:rPr>
          <w:sz w:val="24"/>
          <w:szCs w:val="24"/>
        </w:rPr>
        <w:t>/çıkışlı</w:t>
      </w:r>
      <w:r w:rsidRPr="002207AF">
        <w:rPr>
          <w:sz w:val="24"/>
          <w:szCs w:val="24"/>
        </w:rPr>
        <w:t xml:space="preserve"> eşya ithalatı yoluyla etkisiz kılındığına ilişkin </w:t>
      </w:r>
      <w:r w:rsidR="00351596">
        <w:rPr>
          <w:sz w:val="24"/>
          <w:szCs w:val="24"/>
        </w:rPr>
        <w:t>Ticaret Bakanlığı İthalat Genel Müdürlüğü</w:t>
      </w:r>
      <w:r w:rsidR="00D749EC">
        <w:rPr>
          <w:sz w:val="24"/>
          <w:szCs w:val="24"/>
        </w:rPr>
        <w:t xml:space="preserve"> tarafından </w:t>
      </w:r>
      <w:proofErr w:type="spellStart"/>
      <w:r w:rsidR="00D749EC">
        <w:rPr>
          <w:sz w:val="24"/>
          <w:szCs w:val="24"/>
        </w:rPr>
        <w:t>re’sen</w:t>
      </w:r>
      <w:proofErr w:type="spellEnd"/>
      <w:r w:rsidR="00D749EC">
        <w:rPr>
          <w:sz w:val="24"/>
          <w:szCs w:val="24"/>
        </w:rPr>
        <w:t xml:space="preserve"> </w:t>
      </w:r>
      <w:r w:rsidR="007E4447">
        <w:rPr>
          <w:sz w:val="24"/>
          <w:szCs w:val="24"/>
        </w:rPr>
        <w:t>bir inceleme başlatılmıştır.</w:t>
      </w:r>
    </w:p>
    <w:p w:rsidR="00394684" w:rsidRDefault="00394684" w:rsidP="00BE50D7">
      <w:pPr>
        <w:jc w:val="both"/>
      </w:pPr>
      <w:r w:rsidRPr="008C5155">
        <w:tab/>
        <w:t xml:space="preserve">(2) Bu çerçevede, ulusal ve uluslararası veri kaynakları </w:t>
      </w:r>
      <w:r w:rsidR="00671DB2" w:rsidRPr="008C5155">
        <w:t xml:space="preserve">ile </w:t>
      </w:r>
      <w:r w:rsidRPr="008C5155">
        <w:t>genel ağda yapılan taramalar suretiyle bazı değerlendirmeler yapılmıştır.</w:t>
      </w:r>
    </w:p>
    <w:p w:rsidR="00BE50D7" w:rsidRPr="00BE50D7" w:rsidRDefault="00BE50D7" w:rsidP="00BE50D7">
      <w:pPr>
        <w:jc w:val="both"/>
      </w:pPr>
    </w:p>
    <w:p w:rsidR="00394684" w:rsidRPr="008C5155" w:rsidRDefault="00394684" w:rsidP="00394684">
      <w:pPr>
        <w:outlineLvl w:val="2"/>
        <w:rPr>
          <w:b/>
        </w:rPr>
      </w:pPr>
      <w:r w:rsidRPr="008C5155">
        <w:rPr>
          <w:b/>
        </w:rPr>
        <w:t>IV. Önlemlerin Etkisiz Kılınması</w:t>
      </w:r>
    </w:p>
    <w:p w:rsidR="00394684" w:rsidRPr="008C5155" w:rsidRDefault="00394684" w:rsidP="00394684">
      <w:pPr>
        <w:outlineLvl w:val="2"/>
        <w:rPr>
          <w:b/>
        </w:rPr>
      </w:pPr>
    </w:p>
    <w:p w:rsidR="00394684" w:rsidRPr="008C5155" w:rsidRDefault="00394684" w:rsidP="00394684">
      <w:pPr>
        <w:numPr>
          <w:ilvl w:val="0"/>
          <w:numId w:val="2"/>
        </w:numPr>
        <w:outlineLvl w:val="2"/>
        <w:rPr>
          <w:b/>
        </w:rPr>
      </w:pPr>
      <w:r w:rsidRPr="008C5155">
        <w:rPr>
          <w:b/>
        </w:rPr>
        <w:t>İthalat verilerinin analizi</w:t>
      </w:r>
    </w:p>
    <w:p w:rsidR="00394684" w:rsidRPr="008C5155" w:rsidRDefault="00394684" w:rsidP="00394684">
      <w:pPr>
        <w:outlineLvl w:val="2"/>
        <w:rPr>
          <w:b/>
        </w:rPr>
      </w:pPr>
    </w:p>
    <w:p w:rsidR="00882E12" w:rsidRPr="00253A0F" w:rsidRDefault="00394684" w:rsidP="00253A0F">
      <w:pPr>
        <w:pStyle w:val="Default"/>
        <w:ind w:firstLine="708"/>
        <w:jc w:val="both"/>
      </w:pPr>
      <w:r w:rsidRPr="008C5155">
        <w:rPr>
          <w:b/>
          <w:color w:val="auto"/>
        </w:rPr>
        <w:t>MADDE 4-</w:t>
      </w:r>
      <w:r w:rsidRPr="008C5155">
        <w:rPr>
          <w:color w:val="auto"/>
        </w:rPr>
        <w:t xml:space="preserve"> (1) </w:t>
      </w:r>
      <w:r w:rsidR="007A7C4B">
        <w:t>İ</w:t>
      </w:r>
      <w:r w:rsidR="00882E12" w:rsidRPr="00B33BA3">
        <w:t xml:space="preserve">nceleme konusu </w:t>
      </w:r>
      <w:r w:rsidR="009B48EE">
        <w:t>eşyanın</w:t>
      </w:r>
      <w:r w:rsidR="00613C5A">
        <w:t xml:space="preserve"> ithalat istatistikleri Ek 2’de yer almaktadır. </w:t>
      </w:r>
      <w:r w:rsidR="00C57082">
        <w:t>İnceleme konusu eşyanın toplam ithalatı</w:t>
      </w:r>
      <w:r w:rsidR="00882E12" w:rsidRPr="00B33BA3">
        <w:t xml:space="preserve"> 2015 yılında 422 milyon ABD Doları ve 73 bin ton iken </w:t>
      </w:r>
      <w:r w:rsidR="00882E12">
        <w:t>yıllar içerisinde nispeten yatay bir seyir izlemiş ve 2018 yılında 431</w:t>
      </w:r>
      <w:r w:rsidR="00882E12" w:rsidRPr="00B33BA3">
        <w:t xml:space="preserve"> milyon ABD Doları</w:t>
      </w:r>
      <w:r w:rsidR="00882E12">
        <w:t xml:space="preserve"> ve 73</w:t>
      </w:r>
      <w:r w:rsidR="00882E12" w:rsidRPr="00B33BA3">
        <w:t xml:space="preserve"> bin ton seviyesinde gerçekleşmiş</w:t>
      </w:r>
      <w:r w:rsidR="00882E12">
        <w:t>tir. 2019 yılının ilk 9</w:t>
      </w:r>
      <w:r w:rsidR="00882E12" w:rsidRPr="00B33BA3">
        <w:t xml:space="preserve"> ayında ise söz konusu ithalat </w:t>
      </w:r>
      <w:r w:rsidR="00882E12">
        <w:t>317</w:t>
      </w:r>
      <w:r w:rsidR="00882E12" w:rsidRPr="00B33BA3">
        <w:t xml:space="preserve"> milyon ABD Doları</w:t>
      </w:r>
      <w:r w:rsidR="00882E12">
        <w:t xml:space="preserve"> ve 51</w:t>
      </w:r>
      <w:r w:rsidR="00882E12" w:rsidRPr="00B33BA3">
        <w:t xml:space="preserve"> bin ton olmuştur.</w:t>
      </w:r>
    </w:p>
    <w:p w:rsidR="00253A0F" w:rsidRDefault="00394684" w:rsidP="00882E12">
      <w:pPr>
        <w:pStyle w:val="Default"/>
        <w:ind w:firstLine="708"/>
        <w:jc w:val="both"/>
      </w:pPr>
      <w:r w:rsidRPr="008C5155">
        <w:rPr>
          <w:bCs/>
          <w:color w:val="auto"/>
        </w:rPr>
        <w:t xml:space="preserve">(2) </w:t>
      </w:r>
      <w:r w:rsidR="00BF1B58">
        <w:t>İ</w:t>
      </w:r>
      <w:r w:rsidR="00882E12" w:rsidRPr="00B33BA3">
        <w:t xml:space="preserve">nceleme konusu </w:t>
      </w:r>
      <w:r w:rsidR="009B48EE">
        <w:t>eşyanın</w:t>
      </w:r>
      <w:r w:rsidR="00882E12" w:rsidRPr="00B33BA3">
        <w:t xml:space="preserve"> 2015-201</w:t>
      </w:r>
      <w:r w:rsidR="00882E12">
        <w:t>8</w:t>
      </w:r>
      <w:r w:rsidR="00882E12" w:rsidRPr="00B33BA3">
        <w:t xml:space="preserve"> arasındaki dönemde </w:t>
      </w:r>
      <w:r w:rsidR="00882E12">
        <w:t>Malezya’dan</w:t>
      </w:r>
      <w:r w:rsidR="00882E12" w:rsidRPr="00B33BA3">
        <w:t xml:space="preserve"> ithalatının </w:t>
      </w:r>
      <w:r w:rsidR="00D76013">
        <w:t xml:space="preserve">değer </w:t>
      </w:r>
      <w:r w:rsidR="00882E12" w:rsidRPr="00B33BA3">
        <w:t>ve miktar bazında arttığı görülmektedir. Söz konusu ithalat, 2016 yılında bir önceki yıla göre</w:t>
      </w:r>
      <w:r w:rsidR="00882E12">
        <w:t xml:space="preserve"> %41</w:t>
      </w:r>
      <w:r w:rsidR="00882E12" w:rsidRPr="00B33BA3">
        <w:t xml:space="preserve"> oranında artarak </w:t>
      </w:r>
      <w:r w:rsidR="00882E12">
        <w:t>34,1</w:t>
      </w:r>
      <w:r w:rsidR="00882E12" w:rsidRPr="00B33BA3">
        <w:t xml:space="preserve"> milyon ABD Dolarından </w:t>
      </w:r>
      <w:r w:rsidR="00882E12">
        <w:t>48,2</w:t>
      </w:r>
      <w:r w:rsidR="00882E12" w:rsidRPr="00B33BA3">
        <w:t xml:space="preserve"> milyon ABD Dolarına</w:t>
      </w:r>
      <w:r w:rsidR="00253A0F">
        <w:t>;</w:t>
      </w:r>
      <w:r w:rsidR="00882E12">
        <w:t xml:space="preserve"> 2017 yılında</w:t>
      </w:r>
      <w:r w:rsidR="00882E12" w:rsidRPr="00B33BA3">
        <w:t xml:space="preserve"> 2016 yılına göre %</w:t>
      </w:r>
      <w:r w:rsidR="00882E12">
        <w:t>2</w:t>
      </w:r>
      <w:r w:rsidR="00882E12" w:rsidRPr="00B33BA3">
        <w:t xml:space="preserve">8 oranında artarak </w:t>
      </w:r>
      <w:r w:rsidR="00882E12">
        <w:t>61,9</w:t>
      </w:r>
      <w:r w:rsidR="00882E12" w:rsidRPr="00B33BA3">
        <w:t xml:space="preserve"> milyon ABD Dolarına</w:t>
      </w:r>
      <w:r w:rsidR="00253A0F">
        <w:t>;</w:t>
      </w:r>
      <w:r w:rsidR="00882E12">
        <w:t xml:space="preserve"> </w:t>
      </w:r>
      <w:r w:rsidR="00882E12" w:rsidRPr="00B33BA3">
        <w:t xml:space="preserve"> </w:t>
      </w:r>
      <w:r w:rsidR="00882E12">
        <w:t>2018 yılında</w:t>
      </w:r>
      <w:r w:rsidR="00882E12" w:rsidRPr="00B33BA3">
        <w:t xml:space="preserve"> </w:t>
      </w:r>
      <w:r w:rsidR="00882E12">
        <w:t>2017</w:t>
      </w:r>
      <w:r w:rsidR="00882E12" w:rsidRPr="00B33BA3">
        <w:t xml:space="preserve"> yılına göre %</w:t>
      </w:r>
      <w:r w:rsidR="00253A0F">
        <w:t>4</w:t>
      </w:r>
      <w:r w:rsidR="00882E12" w:rsidRPr="00B33BA3">
        <w:t xml:space="preserve"> oranında artarak </w:t>
      </w:r>
      <w:r w:rsidR="00253A0F">
        <w:t>64,2</w:t>
      </w:r>
      <w:r w:rsidR="00882E12" w:rsidRPr="00B33BA3">
        <w:t xml:space="preserve"> milyon ABD Dolarına yükselmiştir. </w:t>
      </w:r>
      <w:r w:rsidR="00253A0F">
        <w:t>2019</w:t>
      </w:r>
      <w:r w:rsidR="00882E12" w:rsidRPr="00B33BA3">
        <w:t xml:space="preserve"> yılının ilk </w:t>
      </w:r>
      <w:r w:rsidR="00253A0F">
        <w:t>dokuz</w:t>
      </w:r>
      <w:r w:rsidR="00882E12" w:rsidRPr="00B33BA3">
        <w:t xml:space="preserve"> ayındaki ithalat ise </w:t>
      </w:r>
      <w:r w:rsidR="00253A0F">
        <w:t>44,7</w:t>
      </w:r>
      <w:r w:rsidR="00882E12" w:rsidRPr="00B33BA3">
        <w:t xml:space="preserve"> milyon ABD Doları </w:t>
      </w:r>
      <w:r w:rsidR="00253A0F">
        <w:t>olarak gerçekleşmiştir.</w:t>
      </w:r>
    </w:p>
    <w:p w:rsidR="00253A0F" w:rsidRDefault="00253A0F" w:rsidP="00882E12">
      <w:pPr>
        <w:pStyle w:val="Default"/>
        <w:ind w:firstLine="708"/>
        <w:jc w:val="both"/>
      </w:pPr>
      <w:proofErr w:type="gramStart"/>
      <w:r>
        <w:t xml:space="preserve">(3) </w:t>
      </w:r>
      <w:r w:rsidR="00C57082">
        <w:t>İnceleme</w:t>
      </w:r>
      <w:r w:rsidR="00D749EC" w:rsidRPr="00D749EC">
        <w:t xml:space="preserve"> konusu eşyanın miktar bazında ithalatı </w:t>
      </w:r>
      <w:r w:rsidR="00882E12" w:rsidRPr="00B33BA3">
        <w:t>2016 yılında bir önceki yıla göre %</w:t>
      </w:r>
      <w:r>
        <w:t>37</w:t>
      </w:r>
      <w:r w:rsidR="00882E12" w:rsidRPr="00B33BA3">
        <w:t xml:space="preserve"> oranında artarak </w:t>
      </w:r>
      <w:r>
        <w:t>13,5 bin</w:t>
      </w:r>
      <w:r w:rsidR="00882E12" w:rsidRPr="00B33BA3">
        <w:t xml:space="preserve"> tondan </w:t>
      </w:r>
      <w:r>
        <w:t>18,6 bin tona;</w:t>
      </w:r>
      <w:r w:rsidR="00882E12" w:rsidRPr="00B33BA3">
        <w:t xml:space="preserve"> 2017 yılında 2016 yılına göre %</w:t>
      </w:r>
      <w:r>
        <w:t>21</w:t>
      </w:r>
      <w:r w:rsidR="00882E12" w:rsidRPr="00B33BA3">
        <w:t xml:space="preserve"> oranında artarak </w:t>
      </w:r>
      <w:r>
        <w:t xml:space="preserve">22,5 bin tona yükselmiş; 2018 yılında ise 2017 yılına göre %12 oranında azalarak 20,2 bin ton olarak gerçekleşmiştir. </w:t>
      </w:r>
      <w:proofErr w:type="gramEnd"/>
      <w:r>
        <w:t>2019</w:t>
      </w:r>
      <w:r w:rsidR="00882E12" w:rsidRPr="00B33BA3">
        <w:t xml:space="preserve"> yılının ilk </w:t>
      </w:r>
      <w:r>
        <w:t>dokuz</w:t>
      </w:r>
      <w:r w:rsidR="00882E12" w:rsidRPr="00B33BA3">
        <w:t xml:space="preserve"> ayındaki ithalat</w:t>
      </w:r>
      <w:r>
        <w:t xml:space="preserve"> ise 14,1 bin</w:t>
      </w:r>
      <w:r w:rsidR="00C57082">
        <w:t xml:space="preserve"> ton olarak gerçekleşmiştir.</w:t>
      </w:r>
    </w:p>
    <w:p w:rsidR="00882E12" w:rsidRDefault="00253A0F" w:rsidP="00882E12">
      <w:pPr>
        <w:pStyle w:val="Default"/>
        <w:ind w:firstLine="708"/>
        <w:jc w:val="both"/>
        <w:rPr>
          <w:bCs/>
          <w:color w:val="auto"/>
        </w:rPr>
      </w:pPr>
      <w:r>
        <w:t xml:space="preserve">(4) </w:t>
      </w:r>
      <w:r w:rsidR="00882E12" w:rsidRPr="00B33BA3">
        <w:t xml:space="preserve">Yıllar itibariyle, </w:t>
      </w:r>
      <w:r w:rsidR="00C57082">
        <w:t>inceleme konusu eşyanın toplam ithalatında</w:t>
      </w:r>
      <w:r w:rsidR="00882E12" w:rsidRPr="00B33BA3">
        <w:t xml:space="preserve"> bir artış görülmemesine karşın </w:t>
      </w:r>
      <w:r>
        <w:t>Malezya’dan yapılan ithalatta bir artış seyri görülmektedir.</w:t>
      </w:r>
      <w:r w:rsidR="00882E12" w:rsidRPr="00CE420F">
        <w:rPr>
          <w:bCs/>
          <w:color w:val="auto"/>
        </w:rPr>
        <w:t xml:space="preserve"> </w:t>
      </w:r>
      <w:r w:rsidR="009B48EE">
        <w:t>İ</w:t>
      </w:r>
      <w:r w:rsidR="009B48EE" w:rsidRPr="00B33BA3">
        <w:t xml:space="preserve">nceleme konusu </w:t>
      </w:r>
      <w:r w:rsidR="009B48EE">
        <w:t>eşyanın</w:t>
      </w:r>
      <w:r w:rsidR="009B48EE" w:rsidRPr="00B33BA3">
        <w:rPr>
          <w:noProof/>
          <w:color w:val="auto"/>
        </w:rPr>
        <w:t xml:space="preserve"> </w:t>
      </w:r>
      <w:r w:rsidR="009B48EE">
        <w:rPr>
          <w:noProof/>
          <w:color w:val="auto"/>
        </w:rPr>
        <w:t>Malezya</w:t>
      </w:r>
      <w:r w:rsidR="009B48EE" w:rsidRPr="00B33BA3">
        <w:rPr>
          <w:noProof/>
          <w:color w:val="auto"/>
        </w:rPr>
        <w:t xml:space="preserve">’dan gerçekleşen ithalatının toplam ithalat içindeki payı </w:t>
      </w:r>
      <w:r w:rsidR="009B48EE">
        <w:rPr>
          <w:noProof/>
          <w:color w:val="auto"/>
        </w:rPr>
        <w:t xml:space="preserve">miktar </w:t>
      </w:r>
      <w:r w:rsidR="00C22F05">
        <w:rPr>
          <w:noProof/>
          <w:color w:val="auto"/>
        </w:rPr>
        <w:t xml:space="preserve">bazında </w:t>
      </w:r>
      <w:r w:rsidR="007F06ED">
        <w:rPr>
          <w:noProof/>
          <w:color w:val="auto"/>
        </w:rPr>
        <w:t>2015 – 2019(</w:t>
      </w:r>
      <w:r w:rsidR="00D11B0D">
        <w:rPr>
          <w:noProof/>
          <w:color w:val="auto"/>
        </w:rPr>
        <w:t>1-</w:t>
      </w:r>
      <w:r w:rsidR="007F06ED">
        <w:rPr>
          <w:noProof/>
          <w:color w:val="auto"/>
        </w:rPr>
        <w:t>9) döneminde</w:t>
      </w:r>
      <w:r w:rsidR="009B48EE">
        <w:rPr>
          <w:noProof/>
          <w:color w:val="auto"/>
        </w:rPr>
        <w:t xml:space="preserve"> sırasıyla %18,5; %26,2; %29,8; %27,7 ve %27,6 olarak gerçekleşmiştir.</w:t>
      </w:r>
    </w:p>
    <w:p w:rsidR="00D11B0D" w:rsidRPr="00D11B0D" w:rsidRDefault="00D11B0D" w:rsidP="00D11B0D">
      <w:pPr>
        <w:pStyle w:val="Default"/>
        <w:ind w:firstLine="708"/>
        <w:jc w:val="both"/>
        <w:rPr>
          <w:bCs/>
          <w:color w:val="auto"/>
        </w:rPr>
      </w:pPr>
      <w:proofErr w:type="gramStart"/>
      <w:r w:rsidRPr="00D11B0D">
        <w:rPr>
          <w:bCs/>
          <w:color w:val="auto"/>
        </w:rPr>
        <w:t xml:space="preserve">(5) İthalatta Haksız Rekabetin Önlenmesine İlişkin Tebliğ (Tebliğ No: 2015/3) uyarınca Malezya için daha yüksek önlem oranına tabi diğer firmalardan yapılan ithalat değeri endekslenmiş olup 2015 yılı endeksi 100 olduğu varsayıldığında, </w:t>
      </w:r>
      <w:r w:rsidR="008B4AA1">
        <w:rPr>
          <w:bCs/>
          <w:color w:val="auto"/>
        </w:rPr>
        <w:t xml:space="preserve">endeksin </w:t>
      </w:r>
      <w:r w:rsidRPr="00D11B0D">
        <w:rPr>
          <w:bCs/>
          <w:color w:val="auto"/>
        </w:rPr>
        <w:t>2016 yılında 480</w:t>
      </w:r>
      <w:r w:rsidR="00C57082">
        <w:rPr>
          <w:bCs/>
          <w:color w:val="auto"/>
        </w:rPr>
        <w:t>’e</w:t>
      </w:r>
      <w:r w:rsidRPr="00D11B0D">
        <w:rPr>
          <w:bCs/>
          <w:color w:val="auto"/>
        </w:rPr>
        <w:t>; 2017 yılında 950</w:t>
      </w:r>
      <w:r w:rsidR="00C57082">
        <w:rPr>
          <w:bCs/>
          <w:color w:val="auto"/>
        </w:rPr>
        <w:t>’ye; 2018 yılında 1.170’e</w:t>
      </w:r>
      <w:r w:rsidRPr="00D11B0D">
        <w:rPr>
          <w:bCs/>
          <w:color w:val="auto"/>
        </w:rPr>
        <w:t>; 2019 yılının ilk 9 ayında 1.290</w:t>
      </w:r>
      <w:r w:rsidR="00C57082">
        <w:rPr>
          <w:bCs/>
          <w:color w:val="auto"/>
        </w:rPr>
        <w:t>’a</w:t>
      </w:r>
      <w:r w:rsidRPr="00D11B0D">
        <w:rPr>
          <w:bCs/>
          <w:color w:val="auto"/>
        </w:rPr>
        <w:t xml:space="preserve"> yükseldiği görülmektedir.</w:t>
      </w:r>
      <w:proofErr w:type="gramEnd"/>
    </w:p>
    <w:p w:rsidR="00D11B0D" w:rsidRDefault="00D11B0D" w:rsidP="00D11B0D">
      <w:pPr>
        <w:pStyle w:val="Default"/>
        <w:ind w:firstLine="708"/>
        <w:jc w:val="both"/>
        <w:rPr>
          <w:bCs/>
          <w:color w:val="auto"/>
        </w:rPr>
      </w:pPr>
      <w:r w:rsidRPr="00D11B0D">
        <w:rPr>
          <w:bCs/>
          <w:color w:val="auto"/>
        </w:rPr>
        <w:t xml:space="preserve">(6) İthalatta Haksız Rekabetin Önlenmesine İlişkin Tebliğ (Tebliğ No: 2015/3) uyarınca Malezya için daha yüksek önlem oranına tabi diğer firmalardan yapılan ithalat miktarı endekslenmiş olup 2015 yılı endeksi 100 olduğu varsayıldığında, </w:t>
      </w:r>
      <w:r w:rsidR="008B4AA1">
        <w:rPr>
          <w:bCs/>
          <w:color w:val="auto"/>
        </w:rPr>
        <w:t xml:space="preserve">endeksin </w:t>
      </w:r>
      <w:r w:rsidRPr="00D11B0D">
        <w:rPr>
          <w:bCs/>
          <w:color w:val="auto"/>
        </w:rPr>
        <w:t>2016 yılında 470</w:t>
      </w:r>
      <w:r w:rsidR="00C57082">
        <w:rPr>
          <w:bCs/>
          <w:color w:val="auto"/>
        </w:rPr>
        <w:t>’e; 2017 yılında 900’e</w:t>
      </w:r>
      <w:r w:rsidRPr="00D11B0D">
        <w:rPr>
          <w:bCs/>
          <w:color w:val="auto"/>
        </w:rPr>
        <w:t>; 2018 yılında 1.06</w:t>
      </w:r>
      <w:r w:rsidR="00C57082">
        <w:rPr>
          <w:bCs/>
          <w:color w:val="auto"/>
        </w:rPr>
        <w:t>0’e</w:t>
      </w:r>
      <w:r w:rsidRPr="00D11B0D">
        <w:rPr>
          <w:bCs/>
          <w:color w:val="auto"/>
        </w:rPr>
        <w:t xml:space="preserve"> yükseldiği görülmektedir. 2019 yılının ilk 9 ayında ise söz konusu </w:t>
      </w:r>
      <w:r w:rsidR="008B4AA1">
        <w:rPr>
          <w:bCs/>
          <w:color w:val="auto"/>
        </w:rPr>
        <w:t>endeks</w:t>
      </w:r>
      <w:r w:rsidRPr="00D11B0D">
        <w:rPr>
          <w:bCs/>
          <w:color w:val="auto"/>
        </w:rPr>
        <w:t xml:space="preserve"> 870 olarak gerçekleşmiştir. </w:t>
      </w:r>
    </w:p>
    <w:p w:rsidR="008734E5" w:rsidRDefault="00BD71CD" w:rsidP="00D11B0D">
      <w:pPr>
        <w:pStyle w:val="Default"/>
        <w:ind w:firstLine="708"/>
        <w:jc w:val="both"/>
        <w:rPr>
          <w:noProof/>
          <w:color w:val="auto"/>
        </w:rPr>
      </w:pPr>
      <w:r>
        <w:t>(7</w:t>
      </w:r>
      <w:r w:rsidR="008734E5">
        <w:t>) İnceleme konusu eşyaya ilişkin genel</w:t>
      </w:r>
      <w:r w:rsidR="009B48EE">
        <w:t xml:space="preserve"> </w:t>
      </w:r>
      <w:r w:rsidR="008734E5">
        <w:t>ithalat</w:t>
      </w:r>
      <w:r w:rsidR="009B48EE">
        <w:t xml:space="preserve"> birim fiyatlar</w:t>
      </w:r>
      <w:r w:rsidR="008734E5">
        <w:t>ı</w:t>
      </w:r>
      <w:r w:rsidR="009B48EE">
        <w:t xml:space="preserve"> </w:t>
      </w:r>
      <w:r w:rsidR="001232B2" w:rsidRPr="001232B2">
        <w:rPr>
          <w:noProof/>
          <w:color w:val="auto"/>
        </w:rPr>
        <w:t>2015 – 2019(</w:t>
      </w:r>
      <w:r w:rsidR="00D11B0D">
        <w:rPr>
          <w:noProof/>
          <w:color w:val="auto"/>
        </w:rPr>
        <w:t>1-</w:t>
      </w:r>
      <w:r w:rsidR="001232B2" w:rsidRPr="001232B2">
        <w:rPr>
          <w:noProof/>
          <w:color w:val="auto"/>
        </w:rPr>
        <w:t>9) döneminde</w:t>
      </w:r>
      <w:r w:rsidR="009B48EE">
        <w:rPr>
          <w:noProof/>
          <w:color w:val="auto"/>
        </w:rPr>
        <w:t xml:space="preserve"> sırasıyla </w:t>
      </w:r>
      <w:r w:rsidR="008734E5">
        <w:rPr>
          <w:noProof/>
          <w:color w:val="auto"/>
        </w:rPr>
        <w:t xml:space="preserve">5,8; 5,5; 5,4; 5,9; 6,2 </w:t>
      </w:r>
      <w:r w:rsidR="00D76013">
        <w:rPr>
          <w:noProof/>
          <w:color w:val="auto"/>
        </w:rPr>
        <w:t xml:space="preserve">ABD Doları/Kg </w:t>
      </w:r>
      <w:r w:rsidR="009B48EE">
        <w:rPr>
          <w:noProof/>
          <w:color w:val="auto"/>
        </w:rPr>
        <w:t>olarak gerçekleşmiştir.</w:t>
      </w:r>
    </w:p>
    <w:p w:rsidR="00A7546F" w:rsidRDefault="008734E5" w:rsidP="00D11B0D">
      <w:pPr>
        <w:pStyle w:val="Default"/>
        <w:ind w:firstLine="708"/>
        <w:jc w:val="both"/>
        <w:rPr>
          <w:noProof/>
          <w:color w:val="auto"/>
        </w:rPr>
      </w:pPr>
      <w:r>
        <w:rPr>
          <w:noProof/>
          <w:color w:val="auto"/>
        </w:rPr>
        <w:t>(8)</w:t>
      </w:r>
      <w:r w:rsidRPr="008734E5">
        <w:t xml:space="preserve"> </w:t>
      </w:r>
      <w:r>
        <w:t xml:space="preserve">Malezya’dan inceleme konusu eşya ithalatı birim fiyatları </w:t>
      </w:r>
      <w:r w:rsidR="001232B2">
        <w:rPr>
          <w:noProof/>
          <w:color w:val="auto"/>
        </w:rPr>
        <w:t>2015 – 2019(</w:t>
      </w:r>
      <w:r w:rsidR="00D11B0D">
        <w:rPr>
          <w:noProof/>
          <w:color w:val="auto"/>
        </w:rPr>
        <w:t>1-</w:t>
      </w:r>
      <w:r w:rsidR="001232B2">
        <w:rPr>
          <w:noProof/>
          <w:color w:val="auto"/>
        </w:rPr>
        <w:t>9) döneminde</w:t>
      </w:r>
      <w:r>
        <w:rPr>
          <w:noProof/>
          <w:color w:val="auto"/>
        </w:rPr>
        <w:t xml:space="preserve"> sırasıyla 2,5; 2,6; 2,7; 3,2; 3,2 </w:t>
      </w:r>
      <w:r w:rsidR="00D76013">
        <w:rPr>
          <w:noProof/>
          <w:color w:val="auto"/>
        </w:rPr>
        <w:t xml:space="preserve">ABD Doları/Kg </w:t>
      </w:r>
      <w:r>
        <w:rPr>
          <w:noProof/>
          <w:color w:val="auto"/>
        </w:rPr>
        <w:t>olarak gerçekleşmiştir. Malezya ithalat birim fiyatları</w:t>
      </w:r>
      <w:r w:rsidR="005A54A3">
        <w:rPr>
          <w:noProof/>
          <w:color w:val="auto"/>
        </w:rPr>
        <w:t>nın genel ithalat birim fiyatlarına</w:t>
      </w:r>
      <w:r>
        <w:rPr>
          <w:noProof/>
          <w:color w:val="auto"/>
        </w:rPr>
        <w:t xml:space="preserve"> göre düşük olduğu görülmektedir.</w:t>
      </w:r>
    </w:p>
    <w:p w:rsidR="00D11B0D" w:rsidRPr="00CE420F" w:rsidRDefault="00D11B0D" w:rsidP="00D11B0D">
      <w:pPr>
        <w:pStyle w:val="Default"/>
        <w:ind w:firstLine="708"/>
        <w:jc w:val="both"/>
        <w:rPr>
          <w:noProof/>
          <w:color w:val="auto"/>
        </w:rPr>
      </w:pPr>
    </w:p>
    <w:p w:rsidR="00394684" w:rsidRPr="00CE420F" w:rsidRDefault="00394684" w:rsidP="00394684">
      <w:pPr>
        <w:numPr>
          <w:ilvl w:val="0"/>
          <w:numId w:val="2"/>
        </w:numPr>
        <w:jc w:val="both"/>
        <w:rPr>
          <w:b/>
        </w:rPr>
      </w:pPr>
      <w:r w:rsidRPr="00CE420F">
        <w:rPr>
          <w:b/>
        </w:rPr>
        <w:t xml:space="preserve">Uluslararası kaynaklardan elde edilen </w:t>
      </w:r>
      <w:r w:rsidR="00C57082">
        <w:rPr>
          <w:b/>
        </w:rPr>
        <w:t>verilerin</w:t>
      </w:r>
      <w:r w:rsidRPr="00CE420F">
        <w:rPr>
          <w:b/>
        </w:rPr>
        <w:t xml:space="preserve"> analizi</w:t>
      </w:r>
    </w:p>
    <w:p w:rsidR="00394684" w:rsidRPr="00CE420F" w:rsidRDefault="00394684" w:rsidP="00394684">
      <w:pPr>
        <w:ind w:left="1065"/>
        <w:jc w:val="both"/>
      </w:pPr>
    </w:p>
    <w:p w:rsidR="009E0159" w:rsidRDefault="00394684" w:rsidP="00354F41">
      <w:pPr>
        <w:ind w:firstLine="705"/>
        <w:jc w:val="both"/>
        <w:rPr>
          <w:color w:val="000000"/>
        </w:rPr>
      </w:pPr>
      <w:r w:rsidRPr="00CE420F">
        <w:rPr>
          <w:b/>
        </w:rPr>
        <w:t>MADDE 5-</w:t>
      </w:r>
      <w:r w:rsidR="009B28CF" w:rsidRPr="00CE420F">
        <w:t xml:space="preserve"> (</w:t>
      </w:r>
      <w:r w:rsidR="009B28CF" w:rsidRPr="008767AD">
        <w:t>1</w:t>
      </w:r>
      <w:r w:rsidR="008E161E" w:rsidRPr="008767AD">
        <w:t xml:space="preserve">) </w:t>
      </w:r>
      <w:r w:rsidR="005A54A3">
        <w:t>Malezya’ya ilişkin i</w:t>
      </w:r>
      <w:r w:rsidR="00DE5828">
        <w:t xml:space="preserve">statistikler </w:t>
      </w:r>
      <w:proofErr w:type="spellStart"/>
      <w:r w:rsidR="000D316C" w:rsidRPr="00B33BA3">
        <w:rPr>
          <w:color w:val="000000"/>
        </w:rPr>
        <w:t>Trade</w:t>
      </w:r>
      <w:r w:rsidR="00DE5828">
        <w:rPr>
          <w:color w:val="000000"/>
        </w:rPr>
        <w:t>map</w:t>
      </w:r>
      <w:proofErr w:type="spellEnd"/>
      <w:r w:rsidR="00DE5828">
        <w:rPr>
          <w:color w:val="000000"/>
        </w:rPr>
        <w:t xml:space="preserve"> veri sisteminden elde edilmiş olup inceleme konusu eşyaya ilişkin veriler ayrı</w:t>
      </w:r>
      <w:r w:rsidR="001232B2">
        <w:rPr>
          <w:color w:val="000000"/>
        </w:rPr>
        <w:t xml:space="preserve">ştırılamadığından 54.07 </w:t>
      </w:r>
      <w:proofErr w:type="spellStart"/>
      <w:r w:rsidR="001232B2">
        <w:rPr>
          <w:color w:val="000000"/>
        </w:rPr>
        <w:t>GTP’sinin</w:t>
      </w:r>
      <w:proofErr w:type="spellEnd"/>
      <w:r w:rsidR="001232B2">
        <w:rPr>
          <w:color w:val="000000"/>
        </w:rPr>
        <w:t xml:space="preserve"> tamamına</w:t>
      </w:r>
      <w:r w:rsidR="00DE5828">
        <w:rPr>
          <w:color w:val="000000"/>
        </w:rPr>
        <w:t xml:space="preserve"> ilişkin istatistikler kullanılmıştır. </w:t>
      </w:r>
      <w:r w:rsidR="00C57082">
        <w:rPr>
          <w:color w:val="000000"/>
        </w:rPr>
        <w:t>Söz konusu istatistikler Ek 3</w:t>
      </w:r>
      <w:r w:rsidR="00530064">
        <w:rPr>
          <w:color w:val="000000"/>
        </w:rPr>
        <w:t xml:space="preserve"> ve Ek 4</w:t>
      </w:r>
      <w:r w:rsidR="00C57082">
        <w:rPr>
          <w:color w:val="000000"/>
        </w:rPr>
        <w:t xml:space="preserve">’te yer almaktadır. </w:t>
      </w:r>
      <w:r w:rsidR="00DE5828">
        <w:rPr>
          <w:color w:val="000000"/>
        </w:rPr>
        <w:lastRenderedPageBreak/>
        <w:t xml:space="preserve">Malezya’nın 54.07 </w:t>
      </w:r>
      <w:proofErr w:type="spellStart"/>
      <w:r w:rsidR="00DE5828">
        <w:rPr>
          <w:color w:val="000000"/>
        </w:rPr>
        <w:t>GTP’si</w:t>
      </w:r>
      <w:proofErr w:type="spellEnd"/>
      <w:r w:rsidR="00DE5828">
        <w:rPr>
          <w:color w:val="000000"/>
        </w:rPr>
        <w:t xml:space="preserve"> kapsamı ithalatı </w:t>
      </w:r>
      <w:r w:rsidR="001232B2">
        <w:rPr>
          <w:noProof/>
        </w:rPr>
        <w:t>2015 – 2019(</w:t>
      </w:r>
      <w:r w:rsidR="00D11B0D">
        <w:rPr>
          <w:noProof/>
        </w:rPr>
        <w:t>1-</w:t>
      </w:r>
      <w:r w:rsidR="001232B2">
        <w:rPr>
          <w:noProof/>
        </w:rPr>
        <w:t>8</w:t>
      </w:r>
      <w:r w:rsidR="001232B2" w:rsidRPr="001232B2">
        <w:rPr>
          <w:noProof/>
        </w:rPr>
        <w:t xml:space="preserve">) döneminde </w:t>
      </w:r>
      <w:r w:rsidR="00DE5828">
        <w:rPr>
          <w:noProof/>
        </w:rPr>
        <w:t xml:space="preserve">sırasıyla </w:t>
      </w:r>
      <w:r w:rsidR="00DE5828">
        <w:rPr>
          <w:color w:val="000000"/>
        </w:rPr>
        <w:t>262, 316, 316, 300 ve 1</w:t>
      </w:r>
      <w:r w:rsidR="005A54A3">
        <w:rPr>
          <w:color w:val="000000"/>
        </w:rPr>
        <w:t>51</w:t>
      </w:r>
      <w:r w:rsidR="00DE5828">
        <w:rPr>
          <w:color w:val="000000"/>
        </w:rPr>
        <w:t xml:space="preserve"> milyon ABD Doları olarak gerçekleşmiştir. Malezya</w:t>
      </w:r>
      <w:r w:rsidR="0044200C">
        <w:rPr>
          <w:color w:val="000000"/>
        </w:rPr>
        <w:t>’</w:t>
      </w:r>
      <w:r w:rsidR="00DE5828">
        <w:rPr>
          <w:color w:val="000000"/>
        </w:rPr>
        <w:t xml:space="preserve">nın 54.07 </w:t>
      </w:r>
      <w:proofErr w:type="spellStart"/>
      <w:r w:rsidR="00DE5828">
        <w:rPr>
          <w:color w:val="000000"/>
        </w:rPr>
        <w:t>GTP’si</w:t>
      </w:r>
      <w:proofErr w:type="spellEnd"/>
      <w:r w:rsidR="00DE5828">
        <w:rPr>
          <w:color w:val="000000"/>
        </w:rPr>
        <w:t xml:space="preserve"> kapsamı </w:t>
      </w:r>
      <w:proofErr w:type="spellStart"/>
      <w:r w:rsidR="00DE5828">
        <w:rPr>
          <w:color w:val="000000"/>
        </w:rPr>
        <w:t>ÇHC’den</w:t>
      </w:r>
      <w:proofErr w:type="spellEnd"/>
      <w:r w:rsidR="00DE5828">
        <w:rPr>
          <w:color w:val="000000"/>
        </w:rPr>
        <w:t xml:space="preserve"> ithalatı ise aynı dönemde sırasıyla 159, 207, 204, 193 ve </w:t>
      </w:r>
      <w:r w:rsidR="005A54A3">
        <w:rPr>
          <w:color w:val="000000"/>
        </w:rPr>
        <w:t>95</w:t>
      </w:r>
      <w:r w:rsidR="00DE5828">
        <w:rPr>
          <w:color w:val="000000"/>
        </w:rPr>
        <w:t xml:space="preserve"> milyon </w:t>
      </w:r>
      <w:r w:rsidR="00364696">
        <w:rPr>
          <w:color w:val="000000"/>
        </w:rPr>
        <w:t>ABD Doları olarak gerçekleşmiştir.</w:t>
      </w:r>
    </w:p>
    <w:p w:rsidR="009E0159" w:rsidRDefault="009E0159" w:rsidP="00354F41">
      <w:pPr>
        <w:ind w:firstLine="705"/>
        <w:jc w:val="both"/>
        <w:rPr>
          <w:noProof/>
        </w:rPr>
      </w:pPr>
      <w:r>
        <w:rPr>
          <w:color w:val="000000"/>
        </w:rPr>
        <w:t xml:space="preserve">(2) Malezya’nın 54.07 </w:t>
      </w:r>
      <w:proofErr w:type="spellStart"/>
      <w:r>
        <w:rPr>
          <w:color w:val="000000"/>
        </w:rPr>
        <w:t>GTP’si</w:t>
      </w:r>
      <w:proofErr w:type="spellEnd"/>
      <w:r>
        <w:rPr>
          <w:color w:val="000000"/>
        </w:rPr>
        <w:t xml:space="preserve"> kapsamı ithalatı miktar bazında</w:t>
      </w:r>
      <w:r w:rsidRPr="00B33BA3">
        <w:rPr>
          <w:noProof/>
        </w:rPr>
        <w:t xml:space="preserve"> </w:t>
      </w:r>
      <w:r w:rsidR="001232B2" w:rsidRPr="001232B2">
        <w:rPr>
          <w:noProof/>
        </w:rPr>
        <w:t>2015 – 2019(</w:t>
      </w:r>
      <w:r w:rsidR="00D11B0D">
        <w:rPr>
          <w:noProof/>
        </w:rPr>
        <w:t>1-</w:t>
      </w:r>
      <w:r w:rsidR="001232B2" w:rsidRPr="001232B2">
        <w:rPr>
          <w:noProof/>
        </w:rPr>
        <w:t xml:space="preserve">8) </w:t>
      </w:r>
      <w:r w:rsidR="001232B2">
        <w:rPr>
          <w:noProof/>
        </w:rPr>
        <w:t>döneminde</w:t>
      </w:r>
      <w:r>
        <w:rPr>
          <w:noProof/>
        </w:rPr>
        <w:t xml:space="preserve"> sırasıyla 67, 80, 80, 75, 44 bin ton; ÇHC’den ithalatı ise aynı dönemde sırasıyla 33, 45, 45, 43, 23 </w:t>
      </w:r>
      <w:r w:rsidR="00C57082">
        <w:rPr>
          <w:noProof/>
        </w:rPr>
        <w:t>bin ton olarak gerçekleşmiştir.</w:t>
      </w:r>
    </w:p>
    <w:p w:rsidR="000D316C" w:rsidRDefault="009E0159" w:rsidP="00354F41">
      <w:pPr>
        <w:ind w:firstLine="705"/>
        <w:jc w:val="both"/>
        <w:rPr>
          <w:color w:val="000000"/>
        </w:rPr>
      </w:pPr>
      <w:r>
        <w:rPr>
          <w:noProof/>
        </w:rPr>
        <w:t>(3)</w:t>
      </w:r>
      <w:r w:rsidR="001232B2">
        <w:rPr>
          <w:noProof/>
        </w:rPr>
        <w:t xml:space="preserve"> </w:t>
      </w:r>
      <w:r w:rsidR="00364696">
        <w:rPr>
          <w:color w:val="000000"/>
        </w:rPr>
        <w:t xml:space="preserve">Malezya’nın 54.07 </w:t>
      </w:r>
      <w:proofErr w:type="spellStart"/>
      <w:r w:rsidR="00364696">
        <w:rPr>
          <w:color w:val="000000"/>
        </w:rPr>
        <w:t>GTP’si</w:t>
      </w:r>
      <w:proofErr w:type="spellEnd"/>
      <w:r w:rsidR="005A54A3">
        <w:rPr>
          <w:color w:val="000000"/>
        </w:rPr>
        <w:t xml:space="preserve"> kapsamında</w:t>
      </w:r>
      <w:r w:rsidR="00364696">
        <w:rPr>
          <w:color w:val="000000"/>
        </w:rPr>
        <w:t xml:space="preserve"> önemli miktarda ithalatı bulunduğu ve bu ithalatın büyük oranda </w:t>
      </w:r>
      <w:proofErr w:type="spellStart"/>
      <w:r w:rsidR="00364696">
        <w:rPr>
          <w:color w:val="000000"/>
        </w:rPr>
        <w:t>ÇHC’</w:t>
      </w:r>
      <w:r w:rsidR="006A77A3">
        <w:rPr>
          <w:color w:val="000000"/>
        </w:rPr>
        <w:t>den</w:t>
      </w:r>
      <w:proofErr w:type="spellEnd"/>
      <w:r w:rsidR="006A77A3">
        <w:rPr>
          <w:color w:val="000000"/>
        </w:rPr>
        <w:t xml:space="preserve"> yapıldığı görülmektedir.</w:t>
      </w:r>
      <w:r w:rsidR="00492B1C" w:rsidRPr="00492B1C">
        <w:rPr>
          <w:bCs/>
        </w:rPr>
        <w:t xml:space="preserve"> </w:t>
      </w:r>
    </w:p>
    <w:p w:rsidR="009E0159" w:rsidRDefault="000C46A7" w:rsidP="00492B1C">
      <w:pPr>
        <w:ind w:firstLine="705"/>
        <w:jc w:val="both"/>
        <w:rPr>
          <w:color w:val="000000"/>
        </w:rPr>
      </w:pPr>
      <w:r>
        <w:rPr>
          <w:color w:val="000000"/>
        </w:rPr>
        <w:t>(4</w:t>
      </w:r>
      <w:r w:rsidR="00364696">
        <w:rPr>
          <w:color w:val="000000"/>
        </w:rPr>
        <w:t xml:space="preserve">) Malezya’nın 54.07 </w:t>
      </w:r>
      <w:proofErr w:type="spellStart"/>
      <w:r w:rsidR="00364696">
        <w:rPr>
          <w:color w:val="000000"/>
        </w:rPr>
        <w:t>GTP’si</w:t>
      </w:r>
      <w:proofErr w:type="spellEnd"/>
      <w:r w:rsidR="00364696">
        <w:rPr>
          <w:color w:val="000000"/>
        </w:rPr>
        <w:t xml:space="preserve"> kapsamı ihracatı </w:t>
      </w:r>
      <w:r w:rsidR="001232B2" w:rsidRPr="001232B2">
        <w:rPr>
          <w:noProof/>
        </w:rPr>
        <w:t>2015 – 2019(</w:t>
      </w:r>
      <w:r w:rsidR="00D11B0D">
        <w:rPr>
          <w:noProof/>
        </w:rPr>
        <w:t>1-</w:t>
      </w:r>
      <w:r w:rsidR="001232B2" w:rsidRPr="001232B2">
        <w:rPr>
          <w:noProof/>
        </w:rPr>
        <w:t>8) döneminde</w:t>
      </w:r>
      <w:r w:rsidR="00364696">
        <w:rPr>
          <w:noProof/>
        </w:rPr>
        <w:t xml:space="preserve"> sırasıyla </w:t>
      </w:r>
      <w:r w:rsidR="005A54A3">
        <w:rPr>
          <w:color w:val="000000"/>
        </w:rPr>
        <w:t>134, 127, 146, 163 ve 107</w:t>
      </w:r>
      <w:r w:rsidR="00364696">
        <w:rPr>
          <w:color w:val="000000"/>
        </w:rPr>
        <w:t xml:space="preserve"> milyon ABD Doları olarak gerçekleşmiştir. Malezya</w:t>
      </w:r>
      <w:r w:rsidR="001031F4">
        <w:rPr>
          <w:color w:val="000000"/>
        </w:rPr>
        <w:t>’</w:t>
      </w:r>
      <w:r w:rsidR="00364696">
        <w:rPr>
          <w:color w:val="000000"/>
        </w:rPr>
        <w:t xml:space="preserve">nın 54.07 </w:t>
      </w:r>
      <w:proofErr w:type="spellStart"/>
      <w:r w:rsidR="00364696">
        <w:rPr>
          <w:color w:val="000000"/>
        </w:rPr>
        <w:t>GTP’si</w:t>
      </w:r>
      <w:proofErr w:type="spellEnd"/>
      <w:r w:rsidR="00364696">
        <w:rPr>
          <w:color w:val="000000"/>
        </w:rPr>
        <w:t xml:space="preserve"> kapsamı Türkiye’ye ihracatı ise aynı dönemde sırasıyla 51, 56, 70, 84 ve </w:t>
      </w:r>
      <w:r w:rsidR="005A54A3">
        <w:rPr>
          <w:color w:val="000000"/>
        </w:rPr>
        <w:t>55</w:t>
      </w:r>
      <w:r w:rsidR="00364696">
        <w:rPr>
          <w:color w:val="000000"/>
        </w:rPr>
        <w:t xml:space="preserve"> milyon ABD Doları olarak gerçekleşmiştir.</w:t>
      </w:r>
    </w:p>
    <w:p w:rsidR="009E0159" w:rsidRDefault="009E0159" w:rsidP="00492B1C">
      <w:pPr>
        <w:ind w:firstLine="705"/>
        <w:jc w:val="both"/>
        <w:rPr>
          <w:color w:val="000000"/>
        </w:rPr>
      </w:pPr>
      <w:r>
        <w:rPr>
          <w:color w:val="000000"/>
        </w:rPr>
        <w:t>(5)</w:t>
      </w:r>
      <w:r w:rsidR="00D16E61" w:rsidRPr="00D16E61">
        <w:rPr>
          <w:color w:val="000000"/>
        </w:rPr>
        <w:t xml:space="preserve"> </w:t>
      </w:r>
      <w:r w:rsidR="00D16E61">
        <w:rPr>
          <w:color w:val="000000"/>
        </w:rPr>
        <w:t xml:space="preserve">Malezya’nın 54.07 </w:t>
      </w:r>
      <w:proofErr w:type="spellStart"/>
      <w:r w:rsidR="00D16E61">
        <w:rPr>
          <w:color w:val="000000"/>
        </w:rPr>
        <w:t>GTP’si</w:t>
      </w:r>
      <w:proofErr w:type="spellEnd"/>
      <w:r w:rsidR="00D16E61">
        <w:rPr>
          <w:color w:val="000000"/>
        </w:rPr>
        <w:t xml:space="preserve"> kapsamı ihracatı miktar bazında</w:t>
      </w:r>
      <w:r w:rsidR="00D16E61" w:rsidRPr="00B33BA3">
        <w:rPr>
          <w:noProof/>
        </w:rPr>
        <w:t xml:space="preserve"> </w:t>
      </w:r>
      <w:r w:rsidR="001232B2" w:rsidRPr="001232B2">
        <w:rPr>
          <w:noProof/>
        </w:rPr>
        <w:t>2015 – 2019(</w:t>
      </w:r>
      <w:r w:rsidR="00D11B0D">
        <w:rPr>
          <w:noProof/>
        </w:rPr>
        <w:t>1-</w:t>
      </w:r>
      <w:r w:rsidR="001232B2" w:rsidRPr="001232B2">
        <w:rPr>
          <w:noProof/>
        </w:rPr>
        <w:t>8) döneminde</w:t>
      </w:r>
      <w:r w:rsidR="00D16E61">
        <w:rPr>
          <w:noProof/>
        </w:rPr>
        <w:t xml:space="preserve"> sırasıyla 49, 51, 56, 55, 43 bin ton; Türkiye’ye ihracatı ise aynı dönemde sırasıyla 21, 23, 26, 25, 23 bin ton olarak ge</w:t>
      </w:r>
      <w:r w:rsidR="00C57082">
        <w:rPr>
          <w:noProof/>
        </w:rPr>
        <w:t>rçekleşmiştir.</w:t>
      </w:r>
    </w:p>
    <w:p w:rsidR="00492B1C" w:rsidRDefault="000C46A7" w:rsidP="00492B1C">
      <w:pPr>
        <w:ind w:firstLine="705"/>
        <w:jc w:val="both"/>
        <w:rPr>
          <w:color w:val="000000"/>
        </w:rPr>
      </w:pPr>
      <w:r>
        <w:rPr>
          <w:color w:val="000000"/>
        </w:rPr>
        <w:t>(6</w:t>
      </w:r>
      <w:r w:rsidR="009E0159">
        <w:rPr>
          <w:color w:val="000000"/>
        </w:rPr>
        <w:t xml:space="preserve">) </w:t>
      </w:r>
      <w:r w:rsidR="00C7577F">
        <w:rPr>
          <w:color w:val="000000"/>
        </w:rPr>
        <w:t xml:space="preserve">Malezya’nın 54.07 </w:t>
      </w:r>
      <w:proofErr w:type="spellStart"/>
      <w:r w:rsidR="00C7577F">
        <w:rPr>
          <w:color w:val="000000"/>
        </w:rPr>
        <w:t>GTP’si</w:t>
      </w:r>
      <w:proofErr w:type="spellEnd"/>
      <w:r w:rsidR="00C7577F">
        <w:rPr>
          <w:color w:val="000000"/>
        </w:rPr>
        <w:t xml:space="preserve"> kapsamında en fazla ihracat yaptığı ülkenin Türkiye olduğu görülmektedir. Buna ilaveten, 54.07 </w:t>
      </w:r>
      <w:proofErr w:type="spellStart"/>
      <w:r w:rsidR="00C7577F">
        <w:rPr>
          <w:color w:val="000000"/>
        </w:rPr>
        <w:t>GTP’sinde</w:t>
      </w:r>
      <w:proofErr w:type="spellEnd"/>
      <w:r w:rsidR="00C7577F">
        <w:rPr>
          <w:color w:val="000000"/>
        </w:rPr>
        <w:t xml:space="preserve"> Türkiye’ye yapılan ihracatın Malezya’nın toplam ihracatına ora</w:t>
      </w:r>
      <w:r w:rsidR="001031F4">
        <w:rPr>
          <w:color w:val="000000"/>
        </w:rPr>
        <w:t>nı söz konusu dönemde artmış; bu oran</w:t>
      </w:r>
      <w:r w:rsidR="00C7577F">
        <w:rPr>
          <w:color w:val="000000"/>
        </w:rPr>
        <w:t xml:space="preserve"> </w:t>
      </w:r>
      <w:r w:rsidR="00D16E61">
        <w:rPr>
          <w:color w:val="000000"/>
        </w:rPr>
        <w:t xml:space="preserve">miktar bazında </w:t>
      </w:r>
      <w:r w:rsidR="00C7577F">
        <w:rPr>
          <w:color w:val="000000"/>
        </w:rPr>
        <w:t>2015 yılında %</w:t>
      </w:r>
      <w:r>
        <w:rPr>
          <w:color w:val="000000"/>
        </w:rPr>
        <w:t>43</w:t>
      </w:r>
      <w:r w:rsidR="00C7577F">
        <w:rPr>
          <w:color w:val="000000"/>
        </w:rPr>
        <w:t xml:space="preserve"> iken</w:t>
      </w:r>
      <w:r>
        <w:rPr>
          <w:color w:val="000000"/>
        </w:rPr>
        <w:t xml:space="preserve"> 2016 yılında %46, 2017 yılında %47</w:t>
      </w:r>
      <w:r w:rsidR="00A20DF4">
        <w:rPr>
          <w:color w:val="000000"/>
        </w:rPr>
        <w:t>,</w:t>
      </w:r>
      <w:r>
        <w:rPr>
          <w:color w:val="000000"/>
        </w:rPr>
        <w:t xml:space="preserve"> 2018 yılında %46</w:t>
      </w:r>
      <w:r w:rsidR="00C7577F">
        <w:rPr>
          <w:color w:val="000000"/>
        </w:rPr>
        <w:t>, 2019 y</w:t>
      </w:r>
      <w:r w:rsidR="00A20DF4">
        <w:rPr>
          <w:color w:val="000000"/>
        </w:rPr>
        <w:t xml:space="preserve">ılı ilk 8 ayda </w:t>
      </w:r>
      <w:r>
        <w:rPr>
          <w:color w:val="000000"/>
        </w:rPr>
        <w:t>%54</w:t>
      </w:r>
      <w:r w:rsidR="005A54A3">
        <w:rPr>
          <w:color w:val="000000"/>
        </w:rPr>
        <w:t xml:space="preserve"> </w:t>
      </w:r>
      <w:r w:rsidR="00A20DF4">
        <w:rPr>
          <w:color w:val="000000"/>
        </w:rPr>
        <w:t>olarak gerçekleşmiştir.</w:t>
      </w:r>
    </w:p>
    <w:p w:rsidR="00C57082" w:rsidRDefault="00C57082" w:rsidP="00492B1C">
      <w:pPr>
        <w:ind w:firstLine="705"/>
        <w:jc w:val="both"/>
        <w:rPr>
          <w:color w:val="000000"/>
        </w:rPr>
      </w:pPr>
      <w:r>
        <w:rPr>
          <w:color w:val="000000"/>
        </w:rPr>
        <w:t xml:space="preserve">(7) Genel ağ üzerinden yapılan incelemelerde, Malezya’dan ithalat yapılan firmaların üretici niteliklerine ilişkin şüphe </w:t>
      </w:r>
      <w:proofErr w:type="gramStart"/>
      <w:r>
        <w:rPr>
          <w:color w:val="000000"/>
        </w:rPr>
        <w:t>hasıl</w:t>
      </w:r>
      <w:proofErr w:type="gramEnd"/>
      <w:r>
        <w:rPr>
          <w:color w:val="000000"/>
        </w:rPr>
        <w:t xml:space="preserve"> olmuştur.</w:t>
      </w:r>
    </w:p>
    <w:p w:rsidR="000A5C4C" w:rsidRPr="00DF19AB" w:rsidRDefault="000A5C4C" w:rsidP="00492B1C">
      <w:pPr>
        <w:ind w:firstLine="705"/>
        <w:jc w:val="both"/>
      </w:pPr>
    </w:p>
    <w:p w:rsidR="00394684" w:rsidRPr="008C5155" w:rsidRDefault="00394684" w:rsidP="00DD4B0C">
      <w:pPr>
        <w:jc w:val="both"/>
        <w:rPr>
          <w:b/>
        </w:rPr>
      </w:pPr>
      <w:r w:rsidRPr="008C5155">
        <w:rPr>
          <w:b/>
        </w:rPr>
        <w:t xml:space="preserve">V- Sonuç </w:t>
      </w:r>
    </w:p>
    <w:p w:rsidR="00394684" w:rsidRPr="008C5155" w:rsidRDefault="00394684" w:rsidP="00394684">
      <w:pPr>
        <w:ind w:firstLine="708"/>
        <w:jc w:val="both"/>
        <w:rPr>
          <w:b/>
        </w:rPr>
      </w:pPr>
    </w:p>
    <w:p w:rsidR="00336F53" w:rsidRPr="000A1579" w:rsidRDefault="00AC035D" w:rsidP="001E4DEA">
      <w:pPr>
        <w:ind w:right="-144" w:firstLine="708"/>
        <w:jc w:val="both"/>
      </w:pPr>
      <w:r>
        <w:rPr>
          <w:b/>
        </w:rPr>
        <w:t>MADDE 6</w:t>
      </w:r>
      <w:r w:rsidR="00394684" w:rsidRPr="008C5155">
        <w:rPr>
          <w:b/>
        </w:rPr>
        <w:t>-</w:t>
      </w:r>
      <w:r w:rsidR="00394684" w:rsidRPr="008C5155">
        <w:t xml:space="preserve"> </w:t>
      </w:r>
      <w:r w:rsidR="00394684" w:rsidRPr="000A1579">
        <w:t xml:space="preserve">(1) </w:t>
      </w:r>
      <w:r w:rsidR="00336F53" w:rsidRPr="000A1579">
        <w:t xml:space="preserve">İthalatta Haksız Rekabetin Önlenmesine İlişkin Tebliğ (Tebliğ No: 2015/3) kapsamında Malezya menşeli ithalatta uygulanmakta olan </w:t>
      </w:r>
      <w:proofErr w:type="gramStart"/>
      <w:r w:rsidR="00336F53" w:rsidRPr="000A1579">
        <w:t>dampinge</w:t>
      </w:r>
      <w:proofErr w:type="gramEnd"/>
      <w:r w:rsidR="00336F53" w:rsidRPr="000A1579">
        <w:t xml:space="preserve"> karşı önlem oranı, aynı Tebliğ kapsamında ÇHC</w:t>
      </w:r>
      <w:r w:rsidR="00336F53" w:rsidRPr="000A1579">
        <w:rPr>
          <w:b/>
        </w:rPr>
        <w:t xml:space="preserve"> </w:t>
      </w:r>
      <w:r w:rsidR="00336F53" w:rsidRPr="000A1579">
        <w:t>menşeli ithalatta uygulanmakta olan dampinge karşı önlem oranından oldukça düşüktür.</w:t>
      </w:r>
    </w:p>
    <w:p w:rsidR="00336F53" w:rsidRDefault="00336F53" w:rsidP="003B09F1">
      <w:pPr>
        <w:ind w:right="-144" w:firstLine="708"/>
        <w:jc w:val="both"/>
      </w:pPr>
      <w:r w:rsidRPr="000A1579">
        <w:t xml:space="preserve">(2) </w:t>
      </w:r>
      <w:r w:rsidR="00701011" w:rsidRPr="000A1579">
        <w:t>İ</w:t>
      </w:r>
      <w:r w:rsidRPr="000A1579">
        <w:t>nceleme konusu eşya</w:t>
      </w:r>
      <w:r w:rsidR="00701011" w:rsidRPr="000A1579">
        <w:t>nın toplam</w:t>
      </w:r>
      <w:r w:rsidRPr="000A1579">
        <w:t xml:space="preserve"> ithalatı 2015-2019 yılları arasında yatay bir seyir izlemiş iken Malezya’dan </w:t>
      </w:r>
      <w:r w:rsidR="00701011" w:rsidRPr="000A1579">
        <w:t>yapılan</w:t>
      </w:r>
      <w:r w:rsidRPr="000A1579">
        <w:t xml:space="preserve"> ithalat</w:t>
      </w:r>
      <w:r w:rsidR="000A1579" w:rsidRPr="000A1579">
        <w:t>ta artış seyri bulunduğu</w:t>
      </w:r>
      <w:r w:rsidRPr="000A1579">
        <w:t xml:space="preserve"> görülmektedir. Buna ilaveten, Malezya’nın toplam inceleme konusu eşya ihracatında Türkiye’nin payı yıllar içerisinde artış göstermiştir. </w:t>
      </w:r>
      <w:r w:rsidR="003B09F1" w:rsidRPr="000A1579">
        <w:t xml:space="preserve">Yapılan bu tespitler, yürürlükteki </w:t>
      </w:r>
      <w:proofErr w:type="gramStart"/>
      <w:r w:rsidR="003B09F1" w:rsidRPr="000A1579">
        <w:t>dampinge</w:t>
      </w:r>
      <w:proofErr w:type="gramEnd"/>
      <w:r w:rsidR="003B09F1" w:rsidRPr="000A1579">
        <w:t xml:space="preserve"> karşı önlemlerden kaçınma dışında yeterli bir haklı nedeni veya ekonomik gerekçesi bulunmayan bir uygulama, işlem veya iş sonucunda Türkiye ile Malezya arasındaki ticaretin gerçekleştirilme şeklinde bir değişikliğin meydana geldiğine işaret etmektedir.</w:t>
      </w:r>
    </w:p>
    <w:p w:rsidR="009F627A" w:rsidRPr="000A1579" w:rsidRDefault="009F627A" w:rsidP="009F627A">
      <w:pPr>
        <w:ind w:right="-144" w:firstLine="708"/>
        <w:jc w:val="both"/>
      </w:pPr>
      <w:r w:rsidRPr="000A1579">
        <w:t>(</w:t>
      </w:r>
      <w:r>
        <w:t>3</w:t>
      </w:r>
      <w:r w:rsidRPr="000A1579">
        <w:t xml:space="preserve">) 2015-2019 yılları arasında Malezya’dan yapılan inceleme konusu eşya ithalatında artış seyri görülmekte olup söz konusu ithalatta birim fiyatların </w:t>
      </w:r>
      <w:bookmarkStart w:id="1" w:name="_GoBack"/>
      <w:bookmarkEnd w:id="1"/>
      <w:proofErr w:type="spellStart"/>
      <w:r w:rsidR="003D2953">
        <w:t>ÇHC’den</w:t>
      </w:r>
      <w:proofErr w:type="spellEnd"/>
      <w:r w:rsidR="003D2953">
        <w:t xml:space="preserve"> yapılan</w:t>
      </w:r>
      <w:r w:rsidRPr="000A1579">
        <w:t xml:space="preserve"> ithalat</w:t>
      </w:r>
      <w:r w:rsidR="003D2953">
        <w:t>ın</w:t>
      </w:r>
      <w:r w:rsidRPr="000A1579">
        <w:t xml:space="preserve"> birim fiyatlarına göre düşük olduğu görülmektedir. Yapılan bu tespitler, Malezya menşeli/çıkışlı olarak yapılan ithalat yoluyla ÇHC menşeli eşya için yürürlükte olan </w:t>
      </w:r>
      <w:proofErr w:type="gramStart"/>
      <w:r w:rsidRPr="000A1579">
        <w:t>dampinge</w:t>
      </w:r>
      <w:proofErr w:type="gramEnd"/>
      <w:r w:rsidRPr="000A1579">
        <w:t xml:space="preserve"> karşı önlemin iyileştirici etkisinin azaltıldığına işaret etmektedir.</w:t>
      </w:r>
    </w:p>
    <w:p w:rsidR="00930D48" w:rsidRPr="008C5155" w:rsidRDefault="00B37F80" w:rsidP="00DA022C">
      <w:pPr>
        <w:ind w:right="-144" w:firstLine="708"/>
        <w:jc w:val="both"/>
      </w:pPr>
      <w:r>
        <w:t>(4</w:t>
      </w:r>
      <w:r w:rsidR="00DA022C" w:rsidRPr="000A1579">
        <w:t xml:space="preserve">) </w:t>
      </w:r>
      <w:r w:rsidR="009E7B1A" w:rsidRPr="000A1579">
        <w:t>Ulusal ve uluslararası kaynaklardan elde edilen istatistikler ve genel ağdan edinilen bilgiler çerçevesinde</w:t>
      </w:r>
      <w:r w:rsidR="00DA022C" w:rsidRPr="000A1579">
        <w:t xml:space="preserve">, </w:t>
      </w:r>
      <w:r w:rsidR="00E46400" w:rsidRPr="000A1579">
        <w:t xml:space="preserve">yürürlükteki dampinge karşı önlemlerden kaçınma dışında yeterli bir haklı nedeni veya ekonomik gerekçesi bulunmayan bir uygulama, işlem veya iş sonucunda Türkiye ile Malezya arasındaki ticaretin gerçekleştirilme şeklinde bir değişikliğin meydana geldiği; ÇHC menşeli eşya için yürürlükte olan dampinge karşı önlemin iyileştirici etkisinin azaltıldığı ve bu şekilde </w:t>
      </w:r>
      <w:r w:rsidR="00BC0597" w:rsidRPr="000A1579">
        <w:t>Malezya menşeli</w:t>
      </w:r>
      <w:r w:rsidR="004E5C52" w:rsidRPr="000A1579">
        <w:t>/çıkışlı</w:t>
      </w:r>
      <w:r w:rsidR="00BC0597" w:rsidRPr="000A1579">
        <w:t xml:space="preserve"> ithalat yoluyla ÇHC menşeli inceleme konusu eşya ithalatında yürürlükte</w:t>
      </w:r>
      <w:r w:rsidR="00BC0597">
        <w:t xml:space="preserve"> olan dampinge karşı önlemin etkisiz kılındığına ilişkin ciddi şüphe</w:t>
      </w:r>
      <w:r w:rsidR="000A1579">
        <w:t xml:space="preserve"> </w:t>
      </w:r>
      <w:proofErr w:type="gramStart"/>
      <w:r w:rsidR="000A1579">
        <w:t>hasıl</w:t>
      </w:r>
      <w:proofErr w:type="gramEnd"/>
      <w:r w:rsidR="000A1579">
        <w:t xml:space="preserve"> olduğu değerlendirilmektedir</w:t>
      </w:r>
      <w:r w:rsidR="00D11B0D">
        <w:t>.</w:t>
      </w:r>
    </w:p>
    <w:p w:rsidR="00B82CBE" w:rsidRDefault="00B82CBE" w:rsidP="00BC0597">
      <w:pPr>
        <w:jc w:val="both"/>
      </w:pPr>
    </w:p>
    <w:p w:rsidR="00E3220D" w:rsidRDefault="00E3220D" w:rsidP="00E3220D">
      <w:pPr>
        <w:jc w:val="both"/>
      </w:pPr>
    </w:p>
    <w:p w:rsidR="00B82CBE" w:rsidRPr="008C5155" w:rsidRDefault="00B82CBE" w:rsidP="00394684">
      <w:pPr>
        <w:ind w:firstLine="708"/>
        <w:jc w:val="both"/>
      </w:pPr>
    </w:p>
    <w:p w:rsidR="00282CBA" w:rsidRDefault="008C5155" w:rsidP="0067675C">
      <w:pPr>
        <w:ind w:right="-144"/>
        <w:jc w:val="both"/>
        <w:rPr>
          <w:b/>
        </w:rPr>
      </w:pPr>
      <w:r>
        <w:rPr>
          <w:b/>
        </w:rPr>
        <w:t>Ek</w:t>
      </w:r>
      <w:r w:rsidR="004D0133">
        <w:rPr>
          <w:b/>
        </w:rPr>
        <w:t>ler</w:t>
      </w:r>
      <w:r>
        <w:rPr>
          <w:b/>
        </w:rPr>
        <w:t>:</w:t>
      </w:r>
      <w:r w:rsidR="00C52A34">
        <w:rPr>
          <w:b/>
        </w:rPr>
        <w:t xml:space="preserve"> </w:t>
      </w:r>
    </w:p>
    <w:p w:rsidR="008C5155" w:rsidRDefault="008C5155" w:rsidP="0067675C">
      <w:pPr>
        <w:ind w:right="-144"/>
        <w:jc w:val="both"/>
        <w:rPr>
          <w:b/>
        </w:rPr>
      </w:pPr>
    </w:p>
    <w:p w:rsidR="00AA01A2" w:rsidRDefault="00AA01A2" w:rsidP="00AA01A2">
      <w:pPr>
        <w:numPr>
          <w:ilvl w:val="0"/>
          <w:numId w:val="6"/>
        </w:numPr>
        <w:ind w:right="-144"/>
        <w:jc w:val="both"/>
      </w:pPr>
      <w:r w:rsidRPr="00AA01A2">
        <w:t xml:space="preserve">54.07 </w:t>
      </w:r>
      <w:proofErr w:type="spellStart"/>
      <w:r w:rsidRPr="00AA01A2">
        <w:t>GTP'sinde</w:t>
      </w:r>
      <w:proofErr w:type="spellEnd"/>
      <w:r w:rsidRPr="00AA01A2">
        <w:t xml:space="preserve"> Yer Alan Önleme Tabi Olan </w:t>
      </w:r>
      <w:r w:rsidR="009F1E5D">
        <w:t>Eşyanın</w:t>
      </w:r>
      <w:r w:rsidRPr="00AA01A2">
        <w:t xml:space="preserve"> GTİP ve Eşya Tanımları</w:t>
      </w:r>
    </w:p>
    <w:p w:rsidR="00BF46AB" w:rsidRDefault="003005A6" w:rsidP="008C5155">
      <w:pPr>
        <w:numPr>
          <w:ilvl w:val="0"/>
          <w:numId w:val="6"/>
        </w:numPr>
        <w:ind w:right="-144"/>
        <w:jc w:val="both"/>
      </w:pPr>
      <w:r>
        <w:t xml:space="preserve">İnceleme Konusu Eşya </w:t>
      </w:r>
      <w:r w:rsidR="008C5155" w:rsidRPr="00DB54C6">
        <w:t>İthalat İstatistikleri</w:t>
      </w:r>
    </w:p>
    <w:p w:rsidR="003005A6" w:rsidRDefault="003005A6" w:rsidP="003005A6">
      <w:pPr>
        <w:numPr>
          <w:ilvl w:val="0"/>
          <w:numId w:val="6"/>
        </w:numPr>
        <w:ind w:right="-144"/>
        <w:jc w:val="both"/>
      </w:pPr>
      <w:r>
        <w:t xml:space="preserve">54.07 </w:t>
      </w:r>
      <w:proofErr w:type="spellStart"/>
      <w:r>
        <w:t>GTP</w:t>
      </w:r>
      <w:r w:rsidR="00AA01A2">
        <w:t>’si</w:t>
      </w:r>
      <w:proofErr w:type="spellEnd"/>
      <w:r>
        <w:t xml:space="preserve"> Kapsamı Malezya İthalat İstatistikleri (</w:t>
      </w:r>
      <w:proofErr w:type="spellStart"/>
      <w:r>
        <w:t>Trademap</w:t>
      </w:r>
      <w:proofErr w:type="spellEnd"/>
      <w:r>
        <w:t>)</w:t>
      </w:r>
    </w:p>
    <w:p w:rsidR="006E53A8" w:rsidRDefault="003005A6" w:rsidP="006E53A8">
      <w:pPr>
        <w:numPr>
          <w:ilvl w:val="0"/>
          <w:numId w:val="6"/>
        </w:numPr>
        <w:ind w:right="-144"/>
        <w:jc w:val="both"/>
      </w:pPr>
      <w:r>
        <w:t xml:space="preserve">54.07 </w:t>
      </w:r>
      <w:proofErr w:type="spellStart"/>
      <w:r>
        <w:t>GTP</w:t>
      </w:r>
      <w:r w:rsidR="00AA01A2">
        <w:t>’si</w:t>
      </w:r>
      <w:proofErr w:type="spellEnd"/>
      <w:r>
        <w:t xml:space="preserve"> Kapsamı </w:t>
      </w:r>
      <w:r w:rsidR="00492B1C">
        <w:t xml:space="preserve">Malezya </w:t>
      </w:r>
      <w:r>
        <w:t>İ</w:t>
      </w:r>
      <w:r w:rsidR="00492B1C">
        <w:t>hracat İstatistikleri (</w:t>
      </w:r>
      <w:proofErr w:type="spellStart"/>
      <w:r w:rsidR="00492B1C">
        <w:t>Trademap</w:t>
      </w:r>
      <w:proofErr w:type="spellEnd"/>
      <w:r w:rsidR="00492B1C">
        <w:t>)</w:t>
      </w:r>
    </w:p>
    <w:p w:rsidR="006E53A8" w:rsidRDefault="006E53A8" w:rsidP="006E53A8">
      <w:pPr>
        <w:ind w:right="-144"/>
        <w:jc w:val="both"/>
      </w:pPr>
    </w:p>
    <w:p w:rsidR="00B82CBE" w:rsidRDefault="00B82CBE" w:rsidP="006E53A8">
      <w:pPr>
        <w:ind w:right="-144"/>
        <w:jc w:val="both"/>
      </w:pPr>
    </w:p>
    <w:p w:rsidR="001232B2" w:rsidRDefault="001232B2" w:rsidP="006E53A8">
      <w:pPr>
        <w:ind w:right="-144"/>
        <w:jc w:val="both"/>
      </w:pPr>
    </w:p>
    <w:p w:rsidR="001232B2" w:rsidRDefault="001232B2" w:rsidP="006E53A8">
      <w:pPr>
        <w:ind w:right="-144"/>
        <w:jc w:val="both"/>
      </w:pPr>
    </w:p>
    <w:p w:rsidR="001232B2" w:rsidRDefault="001232B2" w:rsidP="006E53A8">
      <w:pPr>
        <w:ind w:right="-144"/>
        <w:jc w:val="both"/>
      </w:pPr>
    </w:p>
    <w:p w:rsidR="001232B2" w:rsidRDefault="001232B2" w:rsidP="006E53A8">
      <w:pPr>
        <w:ind w:right="-144"/>
        <w:jc w:val="both"/>
      </w:pPr>
    </w:p>
    <w:p w:rsidR="001232B2" w:rsidRDefault="001232B2" w:rsidP="006E53A8">
      <w:pPr>
        <w:ind w:right="-144"/>
        <w:jc w:val="both"/>
      </w:pPr>
    </w:p>
    <w:p w:rsidR="001232B2" w:rsidRDefault="001232B2" w:rsidP="006E53A8">
      <w:pPr>
        <w:ind w:right="-144"/>
        <w:jc w:val="both"/>
      </w:pPr>
    </w:p>
    <w:p w:rsidR="001232B2" w:rsidRDefault="001232B2" w:rsidP="006E53A8">
      <w:pPr>
        <w:ind w:right="-144"/>
        <w:jc w:val="both"/>
      </w:pPr>
    </w:p>
    <w:p w:rsidR="001232B2" w:rsidRDefault="001232B2" w:rsidP="006E53A8">
      <w:pPr>
        <w:ind w:right="-144"/>
        <w:jc w:val="both"/>
      </w:pPr>
    </w:p>
    <w:p w:rsidR="001232B2" w:rsidRDefault="001232B2" w:rsidP="006E53A8">
      <w:pPr>
        <w:ind w:right="-144"/>
        <w:jc w:val="both"/>
      </w:pPr>
    </w:p>
    <w:p w:rsidR="001232B2" w:rsidRDefault="001232B2" w:rsidP="006E53A8">
      <w:pPr>
        <w:ind w:right="-144"/>
        <w:jc w:val="both"/>
      </w:pPr>
    </w:p>
    <w:p w:rsidR="001232B2" w:rsidRDefault="001232B2" w:rsidP="006E53A8">
      <w:pPr>
        <w:ind w:right="-144"/>
        <w:jc w:val="both"/>
      </w:pPr>
    </w:p>
    <w:p w:rsidR="001232B2" w:rsidRDefault="001232B2" w:rsidP="006E53A8">
      <w:pPr>
        <w:ind w:right="-144"/>
        <w:jc w:val="both"/>
      </w:pPr>
    </w:p>
    <w:p w:rsidR="00F02E5F" w:rsidRDefault="00F02E5F" w:rsidP="006E53A8">
      <w:pPr>
        <w:ind w:right="-144"/>
        <w:jc w:val="both"/>
      </w:pPr>
    </w:p>
    <w:p w:rsidR="00F02E5F" w:rsidRDefault="00F02E5F" w:rsidP="006E53A8">
      <w:pPr>
        <w:ind w:right="-144"/>
        <w:jc w:val="both"/>
      </w:pPr>
    </w:p>
    <w:p w:rsidR="00F02E5F" w:rsidRDefault="00F02E5F" w:rsidP="006E53A8">
      <w:pPr>
        <w:ind w:right="-144"/>
        <w:jc w:val="both"/>
      </w:pPr>
    </w:p>
    <w:p w:rsidR="00F02E5F" w:rsidRDefault="00F02E5F" w:rsidP="006E53A8">
      <w:pPr>
        <w:ind w:right="-144"/>
        <w:jc w:val="both"/>
      </w:pPr>
    </w:p>
    <w:p w:rsidR="00F02E5F" w:rsidRDefault="00F02E5F" w:rsidP="006E53A8">
      <w:pPr>
        <w:ind w:right="-144"/>
        <w:jc w:val="both"/>
      </w:pPr>
    </w:p>
    <w:p w:rsidR="00F02E5F" w:rsidRDefault="00F02E5F" w:rsidP="006E53A8">
      <w:pPr>
        <w:ind w:right="-144"/>
        <w:jc w:val="both"/>
      </w:pPr>
    </w:p>
    <w:p w:rsidR="00F02E5F" w:rsidRDefault="00F02E5F" w:rsidP="006E53A8">
      <w:pPr>
        <w:ind w:right="-144"/>
        <w:jc w:val="both"/>
      </w:pPr>
    </w:p>
    <w:p w:rsidR="00F02E5F" w:rsidRDefault="00F02E5F" w:rsidP="006E53A8">
      <w:pPr>
        <w:ind w:right="-144"/>
        <w:jc w:val="both"/>
      </w:pPr>
    </w:p>
    <w:p w:rsidR="00F02E5F" w:rsidRDefault="00F02E5F" w:rsidP="006E53A8">
      <w:pPr>
        <w:ind w:right="-144"/>
        <w:jc w:val="both"/>
      </w:pPr>
    </w:p>
    <w:p w:rsidR="00F02E5F" w:rsidRDefault="00F02E5F" w:rsidP="006E53A8">
      <w:pPr>
        <w:ind w:right="-144"/>
        <w:jc w:val="both"/>
      </w:pPr>
    </w:p>
    <w:p w:rsidR="00F02E5F" w:rsidRDefault="00F02E5F" w:rsidP="006E53A8">
      <w:pPr>
        <w:ind w:right="-144"/>
        <w:jc w:val="both"/>
      </w:pPr>
    </w:p>
    <w:p w:rsidR="00F02E5F" w:rsidRDefault="00F02E5F" w:rsidP="006E53A8">
      <w:pPr>
        <w:ind w:right="-144"/>
        <w:jc w:val="both"/>
      </w:pPr>
    </w:p>
    <w:p w:rsidR="00F02E5F" w:rsidRDefault="00F02E5F" w:rsidP="006E53A8">
      <w:pPr>
        <w:ind w:right="-144"/>
        <w:jc w:val="both"/>
      </w:pPr>
    </w:p>
    <w:p w:rsidR="00F02E5F" w:rsidRDefault="00F02E5F" w:rsidP="006E53A8">
      <w:pPr>
        <w:ind w:right="-144"/>
        <w:jc w:val="both"/>
      </w:pPr>
    </w:p>
    <w:p w:rsidR="00F02E5F" w:rsidRDefault="00F02E5F" w:rsidP="006E53A8">
      <w:pPr>
        <w:ind w:right="-144"/>
        <w:jc w:val="both"/>
      </w:pPr>
    </w:p>
    <w:p w:rsidR="00F02E5F" w:rsidRDefault="00F02E5F" w:rsidP="006E53A8">
      <w:pPr>
        <w:ind w:right="-144"/>
        <w:jc w:val="both"/>
      </w:pPr>
    </w:p>
    <w:p w:rsidR="00F02E5F" w:rsidRDefault="00F02E5F" w:rsidP="006E53A8">
      <w:pPr>
        <w:ind w:right="-144"/>
        <w:jc w:val="both"/>
      </w:pPr>
    </w:p>
    <w:p w:rsidR="00F02E5F" w:rsidRDefault="00F02E5F" w:rsidP="006E53A8">
      <w:pPr>
        <w:ind w:right="-144"/>
        <w:jc w:val="both"/>
      </w:pPr>
    </w:p>
    <w:p w:rsidR="00F02E5F" w:rsidRDefault="00F02E5F" w:rsidP="006E53A8">
      <w:pPr>
        <w:ind w:right="-144"/>
        <w:jc w:val="both"/>
      </w:pPr>
    </w:p>
    <w:p w:rsidR="00F02E5F" w:rsidRDefault="00F02E5F" w:rsidP="006E53A8">
      <w:pPr>
        <w:ind w:right="-144"/>
        <w:jc w:val="both"/>
      </w:pPr>
    </w:p>
    <w:p w:rsidR="00F02E5F" w:rsidRDefault="00F02E5F" w:rsidP="006E53A8">
      <w:pPr>
        <w:ind w:right="-144"/>
        <w:jc w:val="both"/>
      </w:pPr>
    </w:p>
    <w:p w:rsidR="00F02E5F" w:rsidRDefault="00F02E5F" w:rsidP="006E53A8">
      <w:pPr>
        <w:ind w:right="-144"/>
        <w:jc w:val="both"/>
      </w:pPr>
    </w:p>
    <w:p w:rsidR="001232B2" w:rsidRDefault="001232B2" w:rsidP="006E53A8">
      <w:pPr>
        <w:ind w:right="-144"/>
        <w:jc w:val="both"/>
      </w:pPr>
    </w:p>
    <w:p w:rsidR="00642B78" w:rsidRDefault="00642B78" w:rsidP="006E53A8">
      <w:pPr>
        <w:ind w:right="-144"/>
        <w:jc w:val="both"/>
      </w:pPr>
    </w:p>
    <w:p w:rsidR="00642B78" w:rsidRDefault="00642B78" w:rsidP="006E53A8">
      <w:pPr>
        <w:ind w:right="-144"/>
        <w:jc w:val="both"/>
      </w:pPr>
    </w:p>
    <w:p w:rsidR="001232B2" w:rsidRDefault="001232B2" w:rsidP="006E53A8">
      <w:pPr>
        <w:ind w:right="-144"/>
        <w:jc w:val="both"/>
      </w:pPr>
    </w:p>
    <w:p w:rsidR="00B82CBE" w:rsidRDefault="00B82CBE" w:rsidP="006E53A8">
      <w:pPr>
        <w:ind w:right="-144"/>
        <w:jc w:val="both"/>
      </w:pPr>
    </w:p>
    <w:p w:rsidR="00AA01A2" w:rsidRDefault="00AA01A2" w:rsidP="006E53A8">
      <w:pPr>
        <w:ind w:right="-144"/>
        <w:jc w:val="both"/>
        <w:rPr>
          <w:b/>
        </w:rPr>
      </w:pPr>
      <w:r>
        <w:rPr>
          <w:b/>
        </w:rPr>
        <w:lastRenderedPageBreak/>
        <w:t>Ek 1</w:t>
      </w:r>
      <w:r w:rsidRPr="006E53A8">
        <w:rPr>
          <w:b/>
        </w:rPr>
        <w:t xml:space="preserve">: </w:t>
      </w:r>
      <w:r w:rsidRPr="00AA01A2">
        <w:rPr>
          <w:b/>
        </w:rPr>
        <w:t xml:space="preserve">54.07 </w:t>
      </w:r>
      <w:proofErr w:type="spellStart"/>
      <w:r w:rsidRPr="00AA01A2">
        <w:rPr>
          <w:b/>
        </w:rPr>
        <w:t>GTP'sinde</w:t>
      </w:r>
      <w:proofErr w:type="spellEnd"/>
      <w:r w:rsidRPr="00AA01A2">
        <w:rPr>
          <w:b/>
        </w:rPr>
        <w:t xml:space="preserve"> Yer Alan Önleme Tabi Olan </w:t>
      </w:r>
      <w:r w:rsidR="009F1E5D">
        <w:rPr>
          <w:b/>
        </w:rPr>
        <w:t>Eşyanın</w:t>
      </w:r>
      <w:r w:rsidRPr="00AA01A2">
        <w:rPr>
          <w:b/>
        </w:rPr>
        <w:t xml:space="preserve"> GTİP ve Eşya Tanımları</w:t>
      </w:r>
    </w:p>
    <w:p w:rsidR="00AA01A2" w:rsidRDefault="00AA01A2" w:rsidP="006E53A8">
      <w:pPr>
        <w:ind w:right="-144"/>
        <w:jc w:val="both"/>
        <w:rPr>
          <w:b/>
        </w:rPr>
      </w:pP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5"/>
        <w:gridCol w:w="6734"/>
      </w:tblGrid>
      <w:tr w:rsidR="00AA01A2" w:rsidRPr="00AA01A2" w:rsidTr="00AA01A2">
        <w:trPr>
          <w:trHeight w:val="240"/>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b/>
                <w:bCs/>
                <w:sz w:val="20"/>
                <w:szCs w:val="20"/>
              </w:rPr>
              <w:t>GTİP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b/>
                <w:bCs/>
                <w:sz w:val="20"/>
                <w:szCs w:val="20"/>
              </w:rPr>
              <w:t>Madde Tanımı</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5407.30.00.10.00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5407.30.00.90.00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5407.41.00.10.00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5407.41.00.90.13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proofErr w:type="spellStart"/>
            <w:r w:rsidRPr="00AA01A2">
              <w:rPr>
                <w:sz w:val="20"/>
                <w:szCs w:val="20"/>
              </w:rPr>
              <w:t>Astarlık</w:t>
            </w:r>
            <w:proofErr w:type="spellEnd"/>
            <w:r w:rsidRPr="00AA01A2">
              <w:rPr>
                <w:sz w:val="20"/>
                <w:szCs w:val="20"/>
              </w:rPr>
              <w:t xml:space="preserve"> mensucat</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5407.41.00.90.19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5407.42.00.10.00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5407.42.00.90.13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proofErr w:type="spellStart"/>
            <w:r w:rsidRPr="00AA01A2">
              <w:rPr>
                <w:sz w:val="20"/>
                <w:szCs w:val="20"/>
              </w:rPr>
              <w:t>Astarlık</w:t>
            </w:r>
            <w:proofErr w:type="spellEnd"/>
            <w:r w:rsidRPr="00AA01A2">
              <w:rPr>
                <w:sz w:val="20"/>
                <w:szCs w:val="20"/>
              </w:rPr>
              <w:t xml:space="preserve"> mensucat</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5407.42.00.90.19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 (naylon elek/ağ hariç)</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5407.43.00.10.00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5407.43.00.90.13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proofErr w:type="spellStart"/>
            <w:r w:rsidRPr="00AA01A2">
              <w:rPr>
                <w:sz w:val="20"/>
                <w:szCs w:val="20"/>
              </w:rPr>
              <w:t>Astarlık</w:t>
            </w:r>
            <w:proofErr w:type="spellEnd"/>
            <w:r w:rsidRPr="00AA01A2">
              <w:rPr>
                <w:sz w:val="20"/>
                <w:szCs w:val="20"/>
              </w:rPr>
              <w:t xml:space="preserve"> mensucat</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5407.43.00.90.19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5407.44.00.10.00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5407.44.00.90.19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5407.51.00.10.00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5407.51.00.90.13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proofErr w:type="spellStart"/>
            <w:r w:rsidRPr="00AA01A2">
              <w:rPr>
                <w:sz w:val="20"/>
                <w:szCs w:val="20"/>
              </w:rPr>
              <w:t>Astarlık</w:t>
            </w:r>
            <w:proofErr w:type="spellEnd"/>
            <w:r w:rsidRPr="00AA01A2">
              <w:rPr>
                <w:sz w:val="20"/>
                <w:szCs w:val="20"/>
              </w:rPr>
              <w:t xml:space="preserve"> mensucat</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5407.51.00.90.19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5407.52.00.10.00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5407.52.00.90.13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proofErr w:type="spellStart"/>
            <w:r w:rsidRPr="00AA01A2">
              <w:rPr>
                <w:sz w:val="20"/>
                <w:szCs w:val="20"/>
              </w:rPr>
              <w:t>Astarlık</w:t>
            </w:r>
            <w:proofErr w:type="spellEnd"/>
            <w:r w:rsidRPr="00AA01A2">
              <w:rPr>
                <w:sz w:val="20"/>
                <w:szCs w:val="20"/>
              </w:rPr>
              <w:t xml:space="preserve"> mensucat</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5407.52.00.90.19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5407.53.00.10.00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5407.53.00.90.13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proofErr w:type="spellStart"/>
            <w:r w:rsidRPr="00AA01A2">
              <w:rPr>
                <w:sz w:val="20"/>
                <w:szCs w:val="20"/>
              </w:rPr>
              <w:t>Astarlık</w:t>
            </w:r>
            <w:proofErr w:type="spellEnd"/>
            <w:r w:rsidRPr="00AA01A2">
              <w:rPr>
                <w:sz w:val="20"/>
                <w:szCs w:val="20"/>
              </w:rPr>
              <w:t xml:space="preserve"> mensucat</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5407.53.00.90.19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5407.54.00.10.00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5407.54.00.90.19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5407.61.10.10.00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5407.61.10.90.13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proofErr w:type="spellStart"/>
            <w:r w:rsidRPr="00AA01A2">
              <w:rPr>
                <w:sz w:val="20"/>
                <w:szCs w:val="20"/>
              </w:rPr>
              <w:t>Astarlık</w:t>
            </w:r>
            <w:proofErr w:type="spellEnd"/>
            <w:r w:rsidRPr="00AA01A2">
              <w:rPr>
                <w:sz w:val="20"/>
                <w:szCs w:val="20"/>
              </w:rPr>
              <w:t xml:space="preserve"> mensucat</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5407.61.10.90.19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5407.61.30.10.00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5407.61.30.90.13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proofErr w:type="spellStart"/>
            <w:r w:rsidRPr="00AA01A2">
              <w:rPr>
                <w:sz w:val="20"/>
                <w:szCs w:val="20"/>
              </w:rPr>
              <w:t>Astarlık</w:t>
            </w:r>
            <w:proofErr w:type="spellEnd"/>
            <w:r w:rsidRPr="00AA01A2">
              <w:rPr>
                <w:sz w:val="20"/>
                <w:szCs w:val="20"/>
              </w:rPr>
              <w:t xml:space="preserve"> mensucat</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5407.61.30.90.19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5407.61.50.10.00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5407.61.50.90.13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proofErr w:type="spellStart"/>
            <w:r w:rsidRPr="00AA01A2">
              <w:rPr>
                <w:sz w:val="20"/>
                <w:szCs w:val="20"/>
              </w:rPr>
              <w:t>Astarlık</w:t>
            </w:r>
            <w:proofErr w:type="spellEnd"/>
            <w:r w:rsidRPr="00AA01A2">
              <w:rPr>
                <w:sz w:val="20"/>
                <w:szCs w:val="20"/>
              </w:rPr>
              <w:t xml:space="preserve"> mensucat</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5407.61.50.90.19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5407.61.90.10.00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5407.61.90.90.19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lastRenderedPageBreak/>
              <w:t>5407.69.10.10.00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5407.69.10.90.13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proofErr w:type="spellStart"/>
            <w:r w:rsidRPr="00AA01A2">
              <w:rPr>
                <w:sz w:val="20"/>
                <w:szCs w:val="20"/>
              </w:rPr>
              <w:t>Astarlık</w:t>
            </w:r>
            <w:proofErr w:type="spellEnd"/>
            <w:r w:rsidRPr="00AA01A2">
              <w:rPr>
                <w:sz w:val="20"/>
                <w:szCs w:val="20"/>
              </w:rPr>
              <w:t xml:space="preserve"> mensucat</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5407.69.10.90.19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5407.69.90.10.00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5407.69.90.90.19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5407.71.00.10.00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5407.71.00.90.13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proofErr w:type="spellStart"/>
            <w:r w:rsidRPr="00AA01A2">
              <w:rPr>
                <w:sz w:val="20"/>
                <w:szCs w:val="20"/>
              </w:rPr>
              <w:t>Astarlık</w:t>
            </w:r>
            <w:proofErr w:type="spellEnd"/>
            <w:r w:rsidRPr="00AA01A2">
              <w:rPr>
                <w:sz w:val="20"/>
                <w:szCs w:val="20"/>
              </w:rPr>
              <w:t xml:space="preserve"> mensucat</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5407.71.00.90.19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5407.72.00.10.00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5407.72.00.90.13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proofErr w:type="spellStart"/>
            <w:r w:rsidRPr="00AA01A2">
              <w:rPr>
                <w:sz w:val="20"/>
                <w:szCs w:val="20"/>
              </w:rPr>
              <w:t>Astarlık</w:t>
            </w:r>
            <w:proofErr w:type="spellEnd"/>
            <w:r w:rsidRPr="00AA01A2">
              <w:rPr>
                <w:sz w:val="20"/>
                <w:szCs w:val="20"/>
              </w:rPr>
              <w:t xml:space="preserve"> mensucat</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5407.72.00.90.19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5407.73.00.10.00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5407.73.00.90.13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proofErr w:type="spellStart"/>
            <w:r w:rsidRPr="00AA01A2">
              <w:rPr>
                <w:sz w:val="20"/>
                <w:szCs w:val="20"/>
              </w:rPr>
              <w:t>Astarlık</w:t>
            </w:r>
            <w:proofErr w:type="spellEnd"/>
            <w:r w:rsidRPr="00AA01A2">
              <w:rPr>
                <w:sz w:val="20"/>
                <w:szCs w:val="20"/>
              </w:rPr>
              <w:t xml:space="preserve"> mensucat</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5407.73.00.90.19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5407.74.00.10.00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5407.74.00.90.19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5407.81.00.10.00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5407.81.00.90.13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proofErr w:type="spellStart"/>
            <w:r w:rsidRPr="00AA01A2">
              <w:rPr>
                <w:sz w:val="20"/>
                <w:szCs w:val="20"/>
              </w:rPr>
              <w:t>Astarlık</w:t>
            </w:r>
            <w:proofErr w:type="spellEnd"/>
            <w:r w:rsidRPr="00AA01A2">
              <w:rPr>
                <w:sz w:val="20"/>
                <w:szCs w:val="20"/>
              </w:rPr>
              <w:t xml:space="preserve"> mensucat</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5407.81.00.90.19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5407.82.00.10.00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5407.82.00.90.13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proofErr w:type="spellStart"/>
            <w:r w:rsidRPr="00AA01A2">
              <w:rPr>
                <w:sz w:val="20"/>
                <w:szCs w:val="20"/>
              </w:rPr>
              <w:t>Astarlık</w:t>
            </w:r>
            <w:proofErr w:type="spellEnd"/>
            <w:r w:rsidRPr="00AA01A2">
              <w:rPr>
                <w:sz w:val="20"/>
                <w:szCs w:val="20"/>
              </w:rPr>
              <w:t xml:space="preserve"> mensucat</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5407.82.00.90.19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5407.83.00.10.00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5407.83.00.90.13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proofErr w:type="spellStart"/>
            <w:r w:rsidRPr="00AA01A2">
              <w:rPr>
                <w:sz w:val="20"/>
                <w:szCs w:val="20"/>
              </w:rPr>
              <w:t>Astarlık</w:t>
            </w:r>
            <w:proofErr w:type="spellEnd"/>
            <w:r w:rsidRPr="00AA01A2">
              <w:rPr>
                <w:sz w:val="20"/>
                <w:szCs w:val="20"/>
              </w:rPr>
              <w:t xml:space="preserve"> mensucat</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5407.83.00.90.19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5407.84.00.10.00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5407.84.00.90.19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5407.91.00.10.00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5407.91.00.90.13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proofErr w:type="spellStart"/>
            <w:r w:rsidRPr="00AA01A2">
              <w:rPr>
                <w:sz w:val="20"/>
                <w:szCs w:val="20"/>
              </w:rPr>
              <w:t>Astarlık</w:t>
            </w:r>
            <w:proofErr w:type="spellEnd"/>
            <w:r w:rsidRPr="00AA01A2">
              <w:rPr>
                <w:sz w:val="20"/>
                <w:szCs w:val="20"/>
              </w:rPr>
              <w:t xml:space="preserve"> mensucat</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5407.91.00.90.19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5407.92.00.10.00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5407.92.00.90.13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proofErr w:type="spellStart"/>
            <w:r w:rsidRPr="00AA01A2">
              <w:rPr>
                <w:sz w:val="20"/>
                <w:szCs w:val="20"/>
              </w:rPr>
              <w:t>Astarlık</w:t>
            </w:r>
            <w:proofErr w:type="spellEnd"/>
            <w:r w:rsidRPr="00AA01A2">
              <w:rPr>
                <w:sz w:val="20"/>
                <w:szCs w:val="20"/>
              </w:rPr>
              <w:t xml:space="preserve"> mensucat</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5407.92.00.90.19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5407.93.00.10.00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5407.93.00.90.13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proofErr w:type="spellStart"/>
            <w:r w:rsidRPr="00AA01A2">
              <w:rPr>
                <w:sz w:val="20"/>
                <w:szCs w:val="20"/>
              </w:rPr>
              <w:t>Astarlık</w:t>
            </w:r>
            <w:proofErr w:type="spellEnd"/>
            <w:r w:rsidRPr="00AA01A2">
              <w:rPr>
                <w:sz w:val="20"/>
                <w:szCs w:val="20"/>
              </w:rPr>
              <w:t xml:space="preserve"> mensucat</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5407.93.00.90.19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5407.94.00.10.00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Elastiki mensucat (kauçuk ipliklerle birleştirilmiş dokumaya elverişli maddelerden olanlar)</w:t>
            </w:r>
          </w:p>
        </w:tc>
      </w:tr>
      <w:tr w:rsidR="00AA01A2" w:rsidRPr="00AA01A2" w:rsidTr="00AA01A2">
        <w:trPr>
          <w:trHeight w:val="28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5407.94.00.90.19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1A2" w:rsidRPr="00AA01A2" w:rsidRDefault="00AA01A2">
            <w:pPr>
              <w:rPr>
                <w:sz w:val="20"/>
                <w:szCs w:val="20"/>
              </w:rPr>
            </w:pPr>
            <w:r w:rsidRPr="00AA01A2">
              <w:rPr>
                <w:sz w:val="20"/>
                <w:szCs w:val="20"/>
              </w:rPr>
              <w:t>Diğerleri</w:t>
            </w:r>
          </w:p>
        </w:tc>
      </w:tr>
    </w:tbl>
    <w:p w:rsidR="006E53A8" w:rsidRPr="006E53A8" w:rsidRDefault="00AA01A2" w:rsidP="006E53A8">
      <w:pPr>
        <w:ind w:right="-144"/>
        <w:jc w:val="both"/>
        <w:rPr>
          <w:b/>
        </w:rPr>
      </w:pPr>
      <w:r>
        <w:rPr>
          <w:b/>
        </w:rPr>
        <w:lastRenderedPageBreak/>
        <w:t>Ek 2</w:t>
      </w:r>
      <w:r w:rsidR="006E53A8" w:rsidRPr="006E53A8">
        <w:rPr>
          <w:b/>
        </w:rPr>
        <w:t>: İnceleme Konusu Eşya İthalat İstatistikler</w:t>
      </w:r>
      <w:r w:rsidR="006E53A8">
        <w:rPr>
          <w:b/>
        </w:rPr>
        <w:t>i</w:t>
      </w:r>
    </w:p>
    <w:p w:rsidR="006E53A8" w:rsidRDefault="006E53A8" w:rsidP="006E53A8">
      <w:pPr>
        <w:ind w:right="-144"/>
        <w:jc w:val="both"/>
      </w:pPr>
    </w:p>
    <w:p w:rsidR="006E53A8" w:rsidRDefault="006E53A8" w:rsidP="006E53A8">
      <w:pPr>
        <w:ind w:right="-144"/>
        <w:jc w:val="both"/>
      </w:pPr>
    </w:p>
    <w:tbl>
      <w:tblPr>
        <w:tblpPr w:leftFromText="141" w:rightFromText="141" w:vertAnchor="text" w:horzAnchor="margin" w:tblpXSpec="center" w:tblpY="-96"/>
        <w:tblW w:w="10380" w:type="dxa"/>
        <w:tblCellMar>
          <w:left w:w="70" w:type="dxa"/>
          <w:right w:w="70" w:type="dxa"/>
        </w:tblCellMar>
        <w:tblLook w:val="04A0" w:firstRow="1" w:lastRow="0" w:firstColumn="1" w:lastColumn="0" w:noHBand="0" w:noVBand="1"/>
      </w:tblPr>
      <w:tblGrid>
        <w:gridCol w:w="1480"/>
        <w:gridCol w:w="700"/>
        <w:gridCol w:w="700"/>
        <w:gridCol w:w="700"/>
        <w:gridCol w:w="700"/>
        <w:gridCol w:w="700"/>
        <w:gridCol w:w="600"/>
        <w:gridCol w:w="600"/>
        <w:gridCol w:w="600"/>
        <w:gridCol w:w="600"/>
        <w:gridCol w:w="600"/>
        <w:gridCol w:w="480"/>
        <w:gridCol w:w="480"/>
        <w:gridCol w:w="480"/>
        <w:gridCol w:w="480"/>
        <w:gridCol w:w="480"/>
      </w:tblGrid>
      <w:tr w:rsidR="006E53A8" w:rsidRPr="000200F8" w:rsidTr="006E53A8">
        <w:trPr>
          <w:trHeight w:val="300"/>
        </w:trPr>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6E53A8" w:rsidRPr="000200F8" w:rsidRDefault="006E53A8" w:rsidP="006E53A8">
            <w:pPr>
              <w:rPr>
                <w:color w:val="000000"/>
                <w:sz w:val="22"/>
                <w:szCs w:val="22"/>
              </w:rPr>
            </w:pPr>
            <w:r w:rsidRPr="000200F8">
              <w:rPr>
                <w:color w:val="000000"/>
                <w:sz w:val="22"/>
                <w:szCs w:val="22"/>
              </w:rPr>
              <w:t> </w:t>
            </w:r>
          </w:p>
        </w:tc>
        <w:tc>
          <w:tcPr>
            <w:tcW w:w="3500" w:type="dxa"/>
            <w:gridSpan w:val="5"/>
            <w:tcBorders>
              <w:top w:val="single" w:sz="4" w:space="0" w:color="auto"/>
              <w:left w:val="nil"/>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Değer (Bin ABD Doları)</w:t>
            </w:r>
          </w:p>
        </w:tc>
        <w:tc>
          <w:tcPr>
            <w:tcW w:w="3000" w:type="dxa"/>
            <w:gridSpan w:val="5"/>
            <w:tcBorders>
              <w:top w:val="single" w:sz="4" w:space="0" w:color="auto"/>
              <w:left w:val="nil"/>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Miktar (Ton)</w:t>
            </w:r>
          </w:p>
        </w:tc>
        <w:tc>
          <w:tcPr>
            <w:tcW w:w="2400" w:type="dxa"/>
            <w:gridSpan w:val="5"/>
            <w:tcBorders>
              <w:top w:val="single" w:sz="4" w:space="0" w:color="auto"/>
              <w:left w:val="nil"/>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Birim Fiyat (ABD Doları/Kg)</w:t>
            </w:r>
          </w:p>
        </w:tc>
      </w:tr>
      <w:tr w:rsidR="006E53A8" w:rsidRPr="000200F8" w:rsidTr="006E53A8">
        <w:trPr>
          <w:trHeight w:val="450"/>
        </w:trPr>
        <w:tc>
          <w:tcPr>
            <w:tcW w:w="1480" w:type="dxa"/>
            <w:tcBorders>
              <w:top w:val="nil"/>
              <w:left w:val="single" w:sz="4" w:space="0" w:color="auto"/>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Menşei Ülke Adı</w:t>
            </w:r>
          </w:p>
        </w:tc>
        <w:tc>
          <w:tcPr>
            <w:tcW w:w="70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color w:val="000000"/>
                <w:sz w:val="16"/>
                <w:szCs w:val="16"/>
              </w:rPr>
            </w:pPr>
            <w:r w:rsidRPr="000200F8">
              <w:rPr>
                <w:color w:val="000000"/>
                <w:sz w:val="16"/>
                <w:szCs w:val="16"/>
              </w:rPr>
              <w:t>2015</w:t>
            </w:r>
          </w:p>
        </w:tc>
        <w:tc>
          <w:tcPr>
            <w:tcW w:w="70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color w:val="000000"/>
                <w:sz w:val="16"/>
                <w:szCs w:val="16"/>
              </w:rPr>
            </w:pPr>
            <w:r w:rsidRPr="000200F8">
              <w:rPr>
                <w:color w:val="000000"/>
                <w:sz w:val="16"/>
                <w:szCs w:val="16"/>
              </w:rPr>
              <w:t>2016</w:t>
            </w:r>
          </w:p>
        </w:tc>
        <w:tc>
          <w:tcPr>
            <w:tcW w:w="70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color w:val="000000"/>
                <w:sz w:val="16"/>
                <w:szCs w:val="16"/>
              </w:rPr>
            </w:pPr>
            <w:r w:rsidRPr="000200F8">
              <w:rPr>
                <w:color w:val="000000"/>
                <w:sz w:val="16"/>
                <w:szCs w:val="16"/>
              </w:rPr>
              <w:t>2017</w:t>
            </w:r>
          </w:p>
        </w:tc>
        <w:tc>
          <w:tcPr>
            <w:tcW w:w="70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color w:val="000000"/>
                <w:sz w:val="16"/>
                <w:szCs w:val="16"/>
              </w:rPr>
            </w:pPr>
            <w:r w:rsidRPr="000200F8">
              <w:rPr>
                <w:color w:val="000000"/>
                <w:sz w:val="16"/>
                <w:szCs w:val="16"/>
              </w:rPr>
              <w:t>2018</w:t>
            </w:r>
          </w:p>
        </w:tc>
        <w:tc>
          <w:tcPr>
            <w:tcW w:w="70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color w:val="000000"/>
                <w:sz w:val="16"/>
                <w:szCs w:val="16"/>
              </w:rPr>
            </w:pPr>
            <w:r w:rsidRPr="000200F8">
              <w:rPr>
                <w:color w:val="000000"/>
                <w:sz w:val="16"/>
                <w:szCs w:val="16"/>
              </w:rPr>
              <w:t>2019 (9)</w:t>
            </w:r>
          </w:p>
        </w:tc>
        <w:tc>
          <w:tcPr>
            <w:tcW w:w="60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color w:val="000000"/>
                <w:sz w:val="16"/>
                <w:szCs w:val="16"/>
              </w:rPr>
            </w:pPr>
            <w:r w:rsidRPr="000200F8">
              <w:rPr>
                <w:color w:val="000000"/>
                <w:sz w:val="16"/>
                <w:szCs w:val="16"/>
              </w:rPr>
              <w:t>2015</w:t>
            </w:r>
          </w:p>
        </w:tc>
        <w:tc>
          <w:tcPr>
            <w:tcW w:w="60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color w:val="000000"/>
                <w:sz w:val="16"/>
                <w:szCs w:val="16"/>
              </w:rPr>
            </w:pPr>
            <w:r w:rsidRPr="000200F8">
              <w:rPr>
                <w:color w:val="000000"/>
                <w:sz w:val="16"/>
                <w:szCs w:val="16"/>
              </w:rPr>
              <w:t>2016</w:t>
            </w:r>
          </w:p>
        </w:tc>
        <w:tc>
          <w:tcPr>
            <w:tcW w:w="60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color w:val="000000"/>
                <w:sz w:val="16"/>
                <w:szCs w:val="16"/>
              </w:rPr>
            </w:pPr>
            <w:r w:rsidRPr="000200F8">
              <w:rPr>
                <w:color w:val="000000"/>
                <w:sz w:val="16"/>
                <w:szCs w:val="16"/>
              </w:rPr>
              <w:t>2017</w:t>
            </w:r>
          </w:p>
        </w:tc>
        <w:tc>
          <w:tcPr>
            <w:tcW w:w="60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color w:val="000000"/>
                <w:sz w:val="16"/>
                <w:szCs w:val="16"/>
              </w:rPr>
            </w:pPr>
            <w:r w:rsidRPr="000200F8">
              <w:rPr>
                <w:color w:val="000000"/>
                <w:sz w:val="16"/>
                <w:szCs w:val="16"/>
              </w:rPr>
              <w:t>2018</w:t>
            </w:r>
          </w:p>
        </w:tc>
        <w:tc>
          <w:tcPr>
            <w:tcW w:w="60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color w:val="000000"/>
                <w:sz w:val="16"/>
                <w:szCs w:val="16"/>
              </w:rPr>
            </w:pPr>
            <w:r w:rsidRPr="000200F8">
              <w:rPr>
                <w:color w:val="000000"/>
                <w:sz w:val="16"/>
                <w:szCs w:val="16"/>
              </w:rPr>
              <w:t>2019 (9)</w:t>
            </w:r>
          </w:p>
        </w:tc>
        <w:tc>
          <w:tcPr>
            <w:tcW w:w="48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color w:val="000000"/>
                <w:sz w:val="16"/>
                <w:szCs w:val="16"/>
              </w:rPr>
            </w:pPr>
            <w:r w:rsidRPr="000200F8">
              <w:rPr>
                <w:color w:val="000000"/>
                <w:sz w:val="16"/>
                <w:szCs w:val="16"/>
              </w:rPr>
              <w:t>2015</w:t>
            </w:r>
          </w:p>
        </w:tc>
        <w:tc>
          <w:tcPr>
            <w:tcW w:w="48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color w:val="000000"/>
                <w:sz w:val="16"/>
                <w:szCs w:val="16"/>
              </w:rPr>
            </w:pPr>
            <w:r w:rsidRPr="000200F8">
              <w:rPr>
                <w:color w:val="000000"/>
                <w:sz w:val="16"/>
                <w:szCs w:val="16"/>
              </w:rPr>
              <w:t>2016</w:t>
            </w:r>
          </w:p>
        </w:tc>
        <w:tc>
          <w:tcPr>
            <w:tcW w:w="48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color w:val="000000"/>
                <w:sz w:val="16"/>
                <w:szCs w:val="16"/>
              </w:rPr>
            </w:pPr>
            <w:r w:rsidRPr="000200F8">
              <w:rPr>
                <w:color w:val="000000"/>
                <w:sz w:val="16"/>
                <w:szCs w:val="16"/>
              </w:rPr>
              <w:t>2017</w:t>
            </w:r>
          </w:p>
        </w:tc>
        <w:tc>
          <w:tcPr>
            <w:tcW w:w="48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color w:val="000000"/>
                <w:sz w:val="16"/>
                <w:szCs w:val="16"/>
              </w:rPr>
            </w:pPr>
            <w:r w:rsidRPr="000200F8">
              <w:rPr>
                <w:color w:val="000000"/>
                <w:sz w:val="16"/>
                <w:szCs w:val="16"/>
              </w:rPr>
              <w:t>2018</w:t>
            </w:r>
          </w:p>
        </w:tc>
        <w:tc>
          <w:tcPr>
            <w:tcW w:w="48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color w:val="000000"/>
                <w:sz w:val="16"/>
                <w:szCs w:val="16"/>
              </w:rPr>
            </w:pPr>
            <w:r w:rsidRPr="000200F8">
              <w:rPr>
                <w:color w:val="000000"/>
                <w:sz w:val="16"/>
                <w:szCs w:val="16"/>
              </w:rPr>
              <w:t>2019 (9)</w:t>
            </w:r>
          </w:p>
        </w:tc>
      </w:tr>
      <w:tr w:rsidR="006E53A8" w:rsidRPr="000200F8" w:rsidTr="006E53A8">
        <w:trPr>
          <w:trHeight w:val="300"/>
        </w:trPr>
        <w:tc>
          <w:tcPr>
            <w:tcW w:w="1480" w:type="dxa"/>
            <w:tcBorders>
              <w:top w:val="nil"/>
              <w:left w:val="single" w:sz="4" w:space="0" w:color="auto"/>
              <w:bottom w:val="single" w:sz="4" w:space="0" w:color="auto"/>
              <w:right w:val="single" w:sz="4" w:space="0" w:color="auto"/>
            </w:tcBorders>
            <w:shd w:val="clear" w:color="000000" w:fill="F0F4FA"/>
            <w:hideMark/>
          </w:tcPr>
          <w:p w:rsidR="006E53A8" w:rsidRPr="000200F8" w:rsidRDefault="006E53A8" w:rsidP="006E53A8">
            <w:pPr>
              <w:rPr>
                <w:b/>
                <w:bCs/>
                <w:color w:val="000000"/>
                <w:sz w:val="16"/>
                <w:szCs w:val="16"/>
              </w:rPr>
            </w:pPr>
            <w:r w:rsidRPr="000200F8">
              <w:rPr>
                <w:b/>
                <w:bCs/>
                <w:color w:val="000000"/>
                <w:sz w:val="16"/>
                <w:szCs w:val="16"/>
              </w:rPr>
              <w:t>TOPLAM</w:t>
            </w:r>
          </w:p>
        </w:tc>
        <w:tc>
          <w:tcPr>
            <w:tcW w:w="70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b/>
                <w:bCs/>
                <w:color w:val="000000"/>
                <w:sz w:val="16"/>
                <w:szCs w:val="16"/>
              </w:rPr>
            </w:pPr>
            <w:r w:rsidRPr="000200F8">
              <w:rPr>
                <w:b/>
                <w:bCs/>
                <w:color w:val="000000"/>
                <w:sz w:val="16"/>
                <w:szCs w:val="16"/>
              </w:rPr>
              <w:t>421.985</w:t>
            </w:r>
          </w:p>
        </w:tc>
        <w:tc>
          <w:tcPr>
            <w:tcW w:w="70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b/>
                <w:bCs/>
                <w:color w:val="000000"/>
                <w:sz w:val="16"/>
                <w:szCs w:val="16"/>
              </w:rPr>
            </w:pPr>
            <w:r w:rsidRPr="000200F8">
              <w:rPr>
                <w:b/>
                <w:bCs/>
                <w:color w:val="000000"/>
                <w:sz w:val="16"/>
                <w:szCs w:val="16"/>
              </w:rPr>
              <w:t>389.705</w:t>
            </w:r>
          </w:p>
        </w:tc>
        <w:tc>
          <w:tcPr>
            <w:tcW w:w="70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b/>
                <w:bCs/>
                <w:color w:val="000000"/>
                <w:sz w:val="16"/>
                <w:szCs w:val="16"/>
              </w:rPr>
            </w:pPr>
            <w:r w:rsidRPr="000200F8">
              <w:rPr>
                <w:b/>
                <w:bCs/>
                <w:color w:val="000000"/>
                <w:sz w:val="16"/>
                <w:szCs w:val="16"/>
              </w:rPr>
              <w:t>408.882</w:t>
            </w:r>
          </w:p>
        </w:tc>
        <w:tc>
          <w:tcPr>
            <w:tcW w:w="70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b/>
                <w:bCs/>
                <w:color w:val="000000"/>
                <w:sz w:val="16"/>
                <w:szCs w:val="16"/>
              </w:rPr>
            </w:pPr>
            <w:r w:rsidRPr="000200F8">
              <w:rPr>
                <w:b/>
                <w:bCs/>
                <w:color w:val="000000"/>
                <w:sz w:val="16"/>
                <w:szCs w:val="16"/>
              </w:rPr>
              <w:t>430.997</w:t>
            </w:r>
          </w:p>
        </w:tc>
        <w:tc>
          <w:tcPr>
            <w:tcW w:w="70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b/>
                <w:bCs/>
                <w:color w:val="000000"/>
                <w:sz w:val="16"/>
                <w:szCs w:val="16"/>
              </w:rPr>
            </w:pPr>
            <w:r w:rsidRPr="000200F8">
              <w:rPr>
                <w:b/>
                <w:bCs/>
                <w:color w:val="000000"/>
                <w:sz w:val="16"/>
                <w:szCs w:val="16"/>
              </w:rPr>
              <w:t>316.608</w:t>
            </w:r>
          </w:p>
        </w:tc>
        <w:tc>
          <w:tcPr>
            <w:tcW w:w="60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b/>
                <w:bCs/>
                <w:color w:val="000000"/>
                <w:sz w:val="16"/>
                <w:szCs w:val="16"/>
              </w:rPr>
            </w:pPr>
            <w:r w:rsidRPr="000200F8">
              <w:rPr>
                <w:b/>
                <w:bCs/>
                <w:color w:val="000000"/>
                <w:sz w:val="16"/>
                <w:szCs w:val="16"/>
              </w:rPr>
              <w:t>72.936</w:t>
            </w:r>
          </w:p>
        </w:tc>
        <w:tc>
          <w:tcPr>
            <w:tcW w:w="60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b/>
                <w:bCs/>
                <w:color w:val="000000"/>
                <w:sz w:val="16"/>
                <w:szCs w:val="16"/>
              </w:rPr>
            </w:pPr>
            <w:r w:rsidRPr="000200F8">
              <w:rPr>
                <w:b/>
                <w:bCs/>
                <w:color w:val="000000"/>
                <w:sz w:val="16"/>
                <w:szCs w:val="16"/>
              </w:rPr>
              <w:t>70.864</w:t>
            </w:r>
          </w:p>
        </w:tc>
        <w:tc>
          <w:tcPr>
            <w:tcW w:w="60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b/>
                <w:bCs/>
                <w:color w:val="000000"/>
                <w:sz w:val="16"/>
                <w:szCs w:val="16"/>
              </w:rPr>
            </w:pPr>
            <w:r w:rsidRPr="000200F8">
              <w:rPr>
                <w:b/>
                <w:bCs/>
                <w:color w:val="000000"/>
                <w:sz w:val="16"/>
                <w:szCs w:val="16"/>
              </w:rPr>
              <w:t>75.575</w:t>
            </w:r>
          </w:p>
        </w:tc>
        <w:tc>
          <w:tcPr>
            <w:tcW w:w="60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b/>
                <w:bCs/>
                <w:color w:val="000000"/>
                <w:sz w:val="16"/>
                <w:szCs w:val="16"/>
              </w:rPr>
            </w:pPr>
            <w:r w:rsidRPr="000200F8">
              <w:rPr>
                <w:b/>
                <w:bCs/>
                <w:color w:val="000000"/>
                <w:sz w:val="16"/>
                <w:szCs w:val="16"/>
              </w:rPr>
              <w:t>72.910</w:t>
            </w:r>
          </w:p>
        </w:tc>
        <w:tc>
          <w:tcPr>
            <w:tcW w:w="60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b/>
                <w:bCs/>
                <w:color w:val="000000"/>
                <w:sz w:val="16"/>
                <w:szCs w:val="16"/>
              </w:rPr>
            </w:pPr>
            <w:r w:rsidRPr="000200F8">
              <w:rPr>
                <w:b/>
                <w:bCs/>
                <w:color w:val="000000"/>
                <w:sz w:val="16"/>
                <w:szCs w:val="16"/>
              </w:rPr>
              <w:t>50.999</w:t>
            </w:r>
          </w:p>
        </w:tc>
        <w:tc>
          <w:tcPr>
            <w:tcW w:w="48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center"/>
              <w:rPr>
                <w:b/>
                <w:bCs/>
                <w:color w:val="000000"/>
                <w:sz w:val="16"/>
                <w:szCs w:val="16"/>
              </w:rPr>
            </w:pPr>
            <w:r w:rsidRPr="000200F8">
              <w:rPr>
                <w:b/>
                <w:bCs/>
                <w:color w:val="000000"/>
                <w:sz w:val="16"/>
                <w:szCs w:val="16"/>
              </w:rPr>
              <w:t xml:space="preserve">5,8 </w:t>
            </w:r>
          </w:p>
        </w:tc>
        <w:tc>
          <w:tcPr>
            <w:tcW w:w="48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b/>
                <w:bCs/>
                <w:color w:val="000000"/>
                <w:sz w:val="16"/>
                <w:szCs w:val="16"/>
              </w:rPr>
            </w:pPr>
            <w:r w:rsidRPr="000200F8">
              <w:rPr>
                <w:b/>
                <w:bCs/>
                <w:color w:val="000000"/>
                <w:sz w:val="16"/>
                <w:szCs w:val="16"/>
              </w:rPr>
              <w:t xml:space="preserve">  5,5 </w:t>
            </w:r>
          </w:p>
        </w:tc>
        <w:tc>
          <w:tcPr>
            <w:tcW w:w="48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b/>
                <w:bCs/>
                <w:color w:val="000000"/>
                <w:sz w:val="16"/>
                <w:szCs w:val="16"/>
              </w:rPr>
            </w:pPr>
            <w:r w:rsidRPr="000200F8">
              <w:rPr>
                <w:b/>
                <w:bCs/>
                <w:color w:val="000000"/>
                <w:sz w:val="16"/>
                <w:szCs w:val="16"/>
              </w:rPr>
              <w:t xml:space="preserve">   5,4 </w:t>
            </w:r>
          </w:p>
        </w:tc>
        <w:tc>
          <w:tcPr>
            <w:tcW w:w="48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b/>
                <w:bCs/>
                <w:color w:val="000000"/>
                <w:sz w:val="16"/>
                <w:szCs w:val="16"/>
              </w:rPr>
            </w:pPr>
            <w:r w:rsidRPr="000200F8">
              <w:rPr>
                <w:b/>
                <w:bCs/>
                <w:color w:val="000000"/>
                <w:sz w:val="16"/>
                <w:szCs w:val="16"/>
              </w:rPr>
              <w:t xml:space="preserve">   5,9 </w:t>
            </w:r>
          </w:p>
        </w:tc>
        <w:tc>
          <w:tcPr>
            <w:tcW w:w="480" w:type="dxa"/>
            <w:tcBorders>
              <w:top w:val="nil"/>
              <w:left w:val="nil"/>
              <w:bottom w:val="single" w:sz="4" w:space="0" w:color="auto"/>
              <w:right w:val="single" w:sz="4" w:space="0" w:color="auto"/>
            </w:tcBorders>
            <w:shd w:val="clear" w:color="000000" w:fill="F0F4FA"/>
            <w:hideMark/>
          </w:tcPr>
          <w:p w:rsidR="006E53A8" w:rsidRPr="000200F8" w:rsidRDefault="006E53A8" w:rsidP="006E53A8">
            <w:pPr>
              <w:jc w:val="right"/>
              <w:rPr>
                <w:b/>
                <w:bCs/>
                <w:color w:val="000000"/>
                <w:sz w:val="16"/>
                <w:szCs w:val="16"/>
              </w:rPr>
            </w:pPr>
            <w:r w:rsidRPr="000200F8">
              <w:rPr>
                <w:b/>
                <w:bCs/>
                <w:color w:val="000000"/>
                <w:sz w:val="16"/>
                <w:szCs w:val="16"/>
              </w:rPr>
              <w:t xml:space="preserve">   6,2 </w:t>
            </w:r>
          </w:p>
        </w:tc>
      </w:tr>
      <w:tr w:rsidR="006E53A8" w:rsidRPr="000200F8" w:rsidTr="006E53A8">
        <w:trPr>
          <w:trHeight w:val="300"/>
        </w:trPr>
        <w:tc>
          <w:tcPr>
            <w:tcW w:w="1480" w:type="dxa"/>
            <w:tcBorders>
              <w:top w:val="nil"/>
              <w:left w:val="single" w:sz="4" w:space="0" w:color="auto"/>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MALEZYA</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34.100</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48.174</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61.883</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64.204</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44.661</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13.517</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18.576</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22.535</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20.192</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14.070</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2,5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2,6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2,7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3,2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3,2 </w:t>
            </w:r>
          </w:p>
        </w:tc>
      </w:tr>
      <w:tr w:rsidR="006E53A8" w:rsidRPr="000200F8" w:rsidTr="006E53A8">
        <w:trPr>
          <w:trHeight w:val="300"/>
        </w:trPr>
        <w:tc>
          <w:tcPr>
            <w:tcW w:w="1480" w:type="dxa"/>
            <w:tcBorders>
              <w:top w:val="nil"/>
              <w:left w:val="single" w:sz="4" w:space="0" w:color="auto"/>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MISIR</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53.503</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53.324</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72.040</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78.991</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71.728</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7.301</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7.553</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10.139</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9.814</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8.894</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7,3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7,1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7,1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8,0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8,1 </w:t>
            </w:r>
          </w:p>
        </w:tc>
      </w:tr>
      <w:tr w:rsidR="006E53A8" w:rsidRPr="000200F8" w:rsidTr="006E53A8">
        <w:trPr>
          <w:trHeight w:val="300"/>
        </w:trPr>
        <w:tc>
          <w:tcPr>
            <w:tcW w:w="1480" w:type="dxa"/>
            <w:tcBorders>
              <w:top w:val="nil"/>
              <w:left w:val="single" w:sz="4" w:space="0" w:color="auto"/>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GÜNEY KORE</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49.131</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65.043</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63.701</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80.072</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57.976</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6.007</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8.184</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7.930</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9.379</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6.642</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8,2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7,9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8,0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8,5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8,7 </w:t>
            </w:r>
          </w:p>
        </w:tc>
      </w:tr>
      <w:tr w:rsidR="006E53A8" w:rsidRPr="000200F8" w:rsidTr="006E53A8">
        <w:trPr>
          <w:trHeight w:val="300"/>
        </w:trPr>
        <w:tc>
          <w:tcPr>
            <w:tcW w:w="1480" w:type="dxa"/>
            <w:tcBorders>
              <w:top w:val="nil"/>
              <w:left w:val="single" w:sz="4" w:space="0" w:color="auto"/>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Ç</w:t>
            </w:r>
            <w:r w:rsidR="00FD7565">
              <w:rPr>
                <w:color w:val="000000"/>
                <w:sz w:val="16"/>
                <w:szCs w:val="16"/>
              </w:rPr>
              <w:t>HC</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26.951</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24.651</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30.818</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37.498</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32.157</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4.348</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4.558</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5.573</w:t>
            </w:r>
          </w:p>
        </w:tc>
        <w:tc>
          <w:tcPr>
            <w:tcW w:w="600" w:type="dxa"/>
            <w:tcBorders>
              <w:top w:val="nil"/>
              <w:left w:val="nil"/>
              <w:bottom w:val="single" w:sz="4" w:space="0" w:color="auto"/>
              <w:right w:val="single" w:sz="4" w:space="0" w:color="auto"/>
            </w:tcBorders>
            <w:shd w:val="clear" w:color="000000" w:fill="FFFFFF"/>
            <w:hideMark/>
          </w:tcPr>
          <w:p w:rsidR="006E53A8" w:rsidRPr="00CF5456" w:rsidRDefault="006E53A8" w:rsidP="006E53A8">
            <w:pPr>
              <w:jc w:val="right"/>
              <w:rPr>
                <w:color w:val="000000"/>
                <w:sz w:val="16"/>
                <w:szCs w:val="16"/>
                <w:highlight w:val="yellow"/>
              </w:rPr>
            </w:pPr>
            <w:r w:rsidRPr="00124813">
              <w:rPr>
                <w:color w:val="000000"/>
                <w:sz w:val="16"/>
                <w:szCs w:val="16"/>
              </w:rPr>
              <w:t>6.808</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5.007</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6,2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5,4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5,5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5,5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6,4 </w:t>
            </w:r>
          </w:p>
        </w:tc>
      </w:tr>
      <w:tr w:rsidR="006E53A8" w:rsidRPr="000200F8" w:rsidTr="006E53A8">
        <w:trPr>
          <w:trHeight w:val="300"/>
        </w:trPr>
        <w:tc>
          <w:tcPr>
            <w:tcW w:w="1480" w:type="dxa"/>
            <w:tcBorders>
              <w:top w:val="nil"/>
              <w:left w:val="single" w:sz="4" w:space="0" w:color="auto"/>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ENDONEZYA</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165.350</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128.600</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87.194</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55.297</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20.814</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24.281</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20.453</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14.093</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8.237</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2.975</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6,8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6,3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6,2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6,7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7,0 </w:t>
            </w:r>
          </w:p>
        </w:tc>
      </w:tr>
      <w:tr w:rsidR="006E53A8" w:rsidRPr="000200F8" w:rsidTr="006E53A8">
        <w:trPr>
          <w:trHeight w:val="300"/>
        </w:trPr>
        <w:tc>
          <w:tcPr>
            <w:tcW w:w="1480" w:type="dxa"/>
            <w:tcBorders>
              <w:top w:val="nil"/>
              <w:left w:val="single" w:sz="4" w:space="0" w:color="auto"/>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VİETNAM</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24.602</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11.400</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13.620</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17.986</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7.885</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9.110</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4.312</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4.728</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5.303</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2.065</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2,7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2,6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2,9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3,4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3,8 </w:t>
            </w:r>
          </w:p>
        </w:tc>
      </w:tr>
      <w:tr w:rsidR="006E53A8" w:rsidRPr="000200F8" w:rsidTr="006E53A8">
        <w:trPr>
          <w:trHeight w:val="300"/>
        </w:trPr>
        <w:tc>
          <w:tcPr>
            <w:tcW w:w="1480" w:type="dxa"/>
            <w:tcBorders>
              <w:top w:val="nil"/>
              <w:left w:val="single" w:sz="4" w:space="0" w:color="auto"/>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YUNANİSTAN</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4.885</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8.779</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16.476</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21.847</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11.976</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1.123</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2.276</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3.933</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4.879</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1.694</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4,3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3,9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4,2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4,5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7,1 </w:t>
            </w:r>
          </w:p>
        </w:tc>
      </w:tr>
      <w:tr w:rsidR="006E53A8" w:rsidRPr="000200F8" w:rsidTr="006E53A8">
        <w:trPr>
          <w:trHeight w:val="300"/>
        </w:trPr>
        <w:tc>
          <w:tcPr>
            <w:tcW w:w="1480" w:type="dxa"/>
            <w:tcBorders>
              <w:top w:val="nil"/>
              <w:left w:val="single" w:sz="4" w:space="0" w:color="auto"/>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İNGİLTERE</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1.344</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1.028</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1.572</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903</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8.494</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63</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56</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108</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50</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1.579</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21,2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18,3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14,5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18,0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5,4 </w:t>
            </w:r>
          </w:p>
        </w:tc>
      </w:tr>
      <w:tr w:rsidR="006E53A8" w:rsidRPr="000200F8" w:rsidTr="006E53A8">
        <w:trPr>
          <w:trHeight w:val="300"/>
        </w:trPr>
        <w:tc>
          <w:tcPr>
            <w:tcW w:w="1480" w:type="dxa"/>
            <w:tcBorders>
              <w:top w:val="nil"/>
              <w:left w:val="single" w:sz="4" w:space="0" w:color="auto"/>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HOLLANDA</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687</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1.515</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3.932</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4.136</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4.854</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18</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53</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98</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373</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1.510</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38,1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28,7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39,9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11,1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3,2 </w:t>
            </w:r>
          </w:p>
        </w:tc>
      </w:tr>
      <w:tr w:rsidR="006E53A8" w:rsidRPr="000200F8" w:rsidTr="006E53A8">
        <w:trPr>
          <w:trHeight w:val="300"/>
        </w:trPr>
        <w:tc>
          <w:tcPr>
            <w:tcW w:w="1480" w:type="dxa"/>
            <w:tcBorders>
              <w:top w:val="nil"/>
              <w:left w:val="single" w:sz="4" w:space="0" w:color="auto"/>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İTALYA</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10.155</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8.524</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9.076</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17.126</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15.284</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589</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485</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522</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1.582</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1.408</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17,2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17,6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17,4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10,8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10,9 </w:t>
            </w:r>
          </w:p>
        </w:tc>
      </w:tr>
      <w:tr w:rsidR="006E53A8" w:rsidRPr="000200F8" w:rsidTr="006E53A8">
        <w:trPr>
          <w:trHeight w:val="300"/>
        </w:trPr>
        <w:tc>
          <w:tcPr>
            <w:tcW w:w="1480" w:type="dxa"/>
            <w:tcBorders>
              <w:top w:val="nil"/>
              <w:left w:val="single" w:sz="4" w:space="0" w:color="auto"/>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İSPANYA</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6.315</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5.253</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5.095</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4.945</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7.324</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592</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552</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527</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537</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928</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10,7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9,5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9,7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9,2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7,9 </w:t>
            </w:r>
          </w:p>
        </w:tc>
      </w:tr>
      <w:tr w:rsidR="006E53A8" w:rsidRPr="000200F8" w:rsidTr="006E53A8">
        <w:trPr>
          <w:trHeight w:val="300"/>
        </w:trPr>
        <w:tc>
          <w:tcPr>
            <w:tcW w:w="1480" w:type="dxa"/>
            <w:tcBorders>
              <w:top w:val="nil"/>
              <w:left w:val="single" w:sz="4" w:space="0" w:color="auto"/>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ÇEK CUMHURİYETİ</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9.813</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8.059</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9.775</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9.953</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7.340</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1.213</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1.096</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1.483</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1.279</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893</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8,1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7,4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6,6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7,8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8,2 </w:t>
            </w:r>
          </w:p>
        </w:tc>
      </w:tr>
      <w:tr w:rsidR="006E53A8" w:rsidRPr="000200F8" w:rsidTr="006E53A8">
        <w:trPr>
          <w:trHeight w:val="300"/>
        </w:trPr>
        <w:tc>
          <w:tcPr>
            <w:tcW w:w="1480" w:type="dxa"/>
            <w:tcBorders>
              <w:top w:val="nil"/>
              <w:left w:val="single" w:sz="4" w:space="0" w:color="auto"/>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TÜRKİYE</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13.071</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7.168</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10.331</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9.735</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8.848</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1.201</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655</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950</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896</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799</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10,9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10,9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10,9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10,9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11,1 </w:t>
            </w:r>
          </w:p>
        </w:tc>
      </w:tr>
      <w:tr w:rsidR="006E53A8" w:rsidRPr="000200F8" w:rsidTr="006E53A8">
        <w:trPr>
          <w:trHeight w:val="300"/>
        </w:trPr>
        <w:tc>
          <w:tcPr>
            <w:tcW w:w="1480" w:type="dxa"/>
            <w:tcBorders>
              <w:top w:val="nil"/>
              <w:left w:val="single" w:sz="4" w:space="0" w:color="auto"/>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HİNDİSTAN</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615</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1.065</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3.751</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5.080</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3.477</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54</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155</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614</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817</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550</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11,3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6,9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6,1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6,2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6,3 </w:t>
            </w:r>
          </w:p>
        </w:tc>
      </w:tr>
      <w:tr w:rsidR="006E53A8" w:rsidRPr="000200F8" w:rsidTr="006E53A8">
        <w:trPr>
          <w:trHeight w:val="300"/>
        </w:trPr>
        <w:tc>
          <w:tcPr>
            <w:tcW w:w="1480" w:type="dxa"/>
            <w:tcBorders>
              <w:top w:val="nil"/>
              <w:left w:val="single" w:sz="4" w:space="0" w:color="auto"/>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ALMANYA</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8.503</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7.475</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10.635</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10.568</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5.486</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1.213</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804</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1.074</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1.093</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488</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7,0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9,3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9,9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9,7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11,2 </w:t>
            </w:r>
          </w:p>
        </w:tc>
      </w:tr>
      <w:tr w:rsidR="006E53A8" w:rsidRPr="000200F8" w:rsidTr="006E53A8">
        <w:trPr>
          <w:trHeight w:val="300"/>
        </w:trPr>
        <w:tc>
          <w:tcPr>
            <w:tcW w:w="1480" w:type="dxa"/>
            <w:tcBorders>
              <w:top w:val="nil"/>
              <w:left w:val="single" w:sz="4" w:space="0" w:color="auto"/>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BOSNA HERSEK</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22"/>
                <w:szCs w:val="22"/>
              </w:rPr>
            </w:pPr>
            <w:r w:rsidRPr="000200F8">
              <w:rPr>
                <w:color w:val="000000"/>
                <w:sz w:val="22"/>
                <w:szCs w:val="22"/>
              </w:rPr>
              <w:t>0</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22"/>
                <w:szCs w:val="22"/>
              </w:rPr>
            </w:pPr>
            <w:r w:rsidRPr="000200F8">
              <w:rPr>
                <w:color w:val="000000"/>
                <w:sz w:val="22"/>
                <w:szCs w:val="22"/>
              </w:rPr>
              <w:t>0</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22"/>
                <w:szCs w:val="22"/>
              </w:rPr>
            </w:pPr>
            <w:r w:rsidRPr="000200F8">
              <w:rPr>
                <w:color w:val="000000"/>
                <w:sz w:val="22"/>
                <w:szCs w:val="22"/>
              </w:rPr>
              <w:t>0</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135</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1.835</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22"/>
                <w:szCs w:val="22"/>
              </w:rPr>
            </w:pPr>
            <w:r w:rsidRPr="000200F8">
              <w:rPr>
                <w:color w:val="000000"/>
                <w:sz w:val="22"/>
                <w:szCs w:val="22"/>
              </w:rPr>
              <w:t>0</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22"/>
                <w:szCs w:val="22"/>
              </w:rPr>
            </w:pPr>
            <w:r w:rsidRPr="000200F8">
              <w:rPr>
                <w:color w:val="000000"/>
                <w:sz w:val="22"/>
                <w:szCs w:val="22"/>
              </w:rPr>
              <w:t>0</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22"/>
                <w:szCs w:val="22"/>
              </w:rPr>
            </w:pPr>
            <w:r w:rsidRPr="000200F8">
              <w:rPr>
                <w:color w:val="000000"/>
                <w:sz w:val="22"/>
                <w:szCs w:val="22"/>
              </w:rPr>
              <w:t>0</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65</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419</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2,1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4,4 </w:t>
            </w:r>
          </w:p>
        </w:tc>
      </w:tr>
      <w:tr w:rsidR="006E53A8" w:rsidRPr="000200F8" w:rsidTr="006E53A8">
        <w:trPr>
          <w:trHeight w:val="300"/>
        </w:trPr>
        <w:tc>
          <w:tcPr>
            <w:tcW w:w="1480" w:type="dxa"/>
            <w:tcBorders>
              <w:top w:val="nil"/>
              <w:left w:val="single" w:sz="4" w:space="0" w:color="auto"/>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ROMANYA</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405</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320</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1.245</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1.270</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1.140</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44</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78</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428</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361</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353</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9,3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4,1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2,9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3,5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3,2 </w:t>
            </w:r>
          </w:p>
        </w:tc>
      </w:tr>
      <w:tr w:rsidR="006E53A8" w:rsidRPr="000200F8" w:rsidTr="006E53A8">
        <w:trPr>
          <w:trHeight w:val="300"/>
        </w:trPr>
        <w:tc>
          <w:tcPr>
            <w:tcW w:w="1480" w:type="dxa"/>
            <w:tcBorders>
              <w:top w:val="nil"/>
              <w:left w:val="single" w:sz="4" w:space="0" w:color="auto"/>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MAKEDONYA</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150</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116</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1.701</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4.606</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1.905</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40</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24</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288</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759</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292</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3,7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4,9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5,9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6,1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6,5 </w:t>
            </w:r>
          </w:p>
        </w:tc>
      </w:tr>
      <w:tr w:rsidR="006E53A8" w:rsidRPr="000200F8" w:rsidTr="006E53A8">
        <w:trPr>
          <w:trHeight w:val="300"/>
        </w:trPr>
        <w:tc>
          <w:tcPr>
            <w:tcW w:w="1480" w:type="dxa"/>
            <w:tcBorders>
              <w:top w:val="nil"/>
              <w:left w:val="single" w:sz="4" w:space="0" w:color="auto"/>
              <w:bottom w:val="single" w:sz="4" w:space="0" w:color="auto"/>
              <w:right w:val="single" w:sz="4" w:space="0" w:color="auto"/>
            </w:tcBorders>
            <w:shd w:val="clear" w:color="000000" w:fill="F0F4FA"/>
            <w:hideMark/>
          </w:tcPr>
          <w:p w:rsidR="006E53A8" w:rsidRPr="000200F8" w:rsidRDefault="006E53A8" w:rsidP="006E53A8">
            <w:pPr>
              <w:rPr>
                <w:color w:val="000000"/>
                <w:sz w:val="16"/>
                <w:szCs w:val="16"/>
              </w:rPr>
            </w:pPr>
            <w:r w:rsidRPr="000200F8">
              <w:rPr>
                <w:color w:val="000000"/>
                <w:sz w:val="16"/>
                <w:szCs w:val="16"/>
              </w:rPr>
              <w:t>DİĞER</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12.404</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9.212</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6.037</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6.646</w:t>
            </w:r>
          </w:p>
        </w:tc>
        <w:tc>
          <w:tcPr>
            <w:tcW w:w="7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3.423</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2.220</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994</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553</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485</w:t>
            </w:r>
          </w:p>
        </w:tc>
        <w:tc>
          <w:tcPr>
            <w:tcW w:w="60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435</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5,6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9,3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10,9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13,7 </w:t>
            </w:r>
          </w:p>
        </w:tc>
        <w:tc>
          <w:tcPr>
            <w:tcW w:w="480" w:type="dxa"/>
            <w:tcBorders>
              <w:top w:val="nil"/>
              <w:left w:val="nil"/>
              <w:bottom w:val="single" w:sz="4" w:space="0" w:color="auto"/>
              <w:right w:val="single" w:sz="4" w:space="0" w:color="auto"/>
            </w:tcBorders>
            <w:shd w:val="clear" w:color="000000" w:fill="FFFFFF"/>
            <w:hideMark/>
          </w:tcPr>
          <w:p w:rsidR="006E53A8" w:rsidRPr="000200F8" w:rsidRDefault="006E53A8" w:rsidP="006E53A8">
            <w:pPr>
              <w:jc w:val="right"/>
              <w:rPr>
                <w:color w:val="000000"/>
                <w:sz w:val="16"/>
                <w:szCs w:val="16"/>
              </w:rPr>
            </w:pPr>
            <w:r w:rsidRPr="000200F8">
              <w:rPr>
                <w:color w:val="000000"/>
                <w:sz w:val="16"/>
                <w:szCs w:val="16"/>
              </w:rPr>
              <w:t xml:space="preserve">   7,9 </w:t>
            </w:r>
          </w:p>
        </w:tc>
      </w:tr>
    </w:tbl>
    <w:p w:rsidR="006E53A8" w:rsidRDefault="006E53A8" w:rsidP="006E53A8">
      <w:pPr>
        <w:ind w:right="-144"/>
        <w:jc w:val="both"/>
      </w:pPr>
    </w:p>
    <w:p w:rsidR="009A4986" w:rsidRDefault="009A4986" w:rsidP="006E53A8">
      <w:pPr>
        <w:ind w:right="-144"/>
        <w:jc w:val="both"/>
      </w:pPr>
    </w:p>
    <w:p w:rsidR="009A4986" w:rsidRDefault="009A4986" w:rsidP="006E53A8">
      <w:pPr>
        <w:ind w:right="-144"/>
        <w:jc w:val="both"/>
      </w:pPr>
    </w:p>
    <w:p w:rsidR="009A4986" w:rsidRDefault="009A4986" w:rsidP="006E53A8">
      <w:pPr>
        <w:ind w:right="-144"/>
        <w:jc w:val="both"/>
      </w:pPr>
    </w:p>
    <w:p w:rsidR="009A4986" w:rsidRDefault="009A4986" w:rsidP="006E53A8">
      <w:pPr>
        <w:ind w:right="-144"/>
        <w:jc w:val="both"/>
      </w:pPr>
    </w:p>
    <w:p w:rsidR="009A4986" w:rsidRDefault="009A4986" w:rsidP="006E53A8">
      <w:pPr>
        <w:ind w:right="-144"/>
        <w:jc w:val="both"/>
      </w:pPr>
    </w:p>
    <w:p w:rsidR="009A4986" w:rsidRDefault="009A4986" w:rsidP="006E53A8">
      <w:pPr>
        <w:ind w:right="-144"/>
        <w:jc w:val="both"/>
      </w:pPr>
    </w:p>
    <w:p w:rsidR="009A4986" w:rsidRDefault="009A4986" w:rsidP="006E53A8">
      <w:pPr>
        <w:ind w:right="-144"/>
        <w:jc w:val="both"/>
      </w:pPr>
    </w:p>
    <w:p w:rsidR="009A4986" w:rsidRDefault="009A4986" w:rsidP="006E53A8">
      <w:pPr>
        <w:ind w:right="-144"/>
        <w:jc w:val="both"/>
      </w:pPr>
    </w:p>
    <w:p w:rsidR="009A4986" w:rsidRDefault="009A4986" w:rsidP="006E53A8">
      <w:pPr>
        <w:ind w:right="-144"/>
        <w:jc w:val="both"/>
      </w:pPr>
    </w:p>
    <w:p w:rsidR="009A4986" w:rsidRDefault="009A4986" w:rsidP="006E53A8">
      <w:pPr>
        <w:ind w:right="-144"/>
        <w:jc w:val="both"/>
      </w:pPr>
    </w:p>
    <w:p w:rsidR="009A4986" w:rsidRDefault="009A4986" w:rsidP="006E53A8">
      <w:pPr>
        <w:ind w:right="-144"/>
        <w:jc w:val="both"/>
      </w:pPr>
    </w:p>
    <w:p w:rsidR="009A4986" w:rsidRDefault="009A4986" w:rsidP="006E53A8">
      <w:pPr>
        <w:ind w:right="-144"/>
        <w:jc w:val="both"/>
      </w:pPr>
    </w:p>
    <w:p w:rsidR="009A4986" w:rsidRDefault="009A4986" w:rsidP="006E53A8">
      <w:pPr>
        <w:ind w:right="-144"/>
        <w:jc w:val="both"/>
      </w:pPr>
    </w:p>
    <w:p w:rsidR="009A4986" w:rsidRDefault="009A4986" w:rsidP="006E53A8">
      <w:pPr>
        <w:ind w:right="-144"/>
        <w:jc w:val="both"/>
      </w:pPr>
    </w:p>
    <w:p w:rsidR="009A4986" w:rsidRDefault="009A4986" w:rsidP="006E53A8">
      <w:pPr>
        <w:ind w:right="-144"/>
        <w:jc w:val="both"/>
      </w:pPr>
    </w:p>
    <w:p w:rsidR="009A4986" w:rsidRDefault="009A4986" w:rsidP="006E53A8">
      <w:pPr>
        <w:ind w:right="-144"/>
        <w:jc w:val="both"/>
      </w:pPr>
    </w:p>
    <w:p w:rsidR="009A4986" w:rsidRDefault="009A4986" w:rsidP="006E53A8">
      <w:pPr>
        <w:ind w:right="-144"/>
        <w:jc w:val="both"/>
      </w:pPr>
    </w:p>
    <w:p w:rsidR="009A4986" w:rsidRDefault="009A4986" w:rsidP="006E53A8">
      <w:pPr>
        <w:ind w:right="-144"/>
        <w:jc w:val="both"/>
      </w:pPr>
    </w:p>
    <w:p w:rsidR="00001675" w:rsidRDefault="00001675" w:rsidP="006E53A8">
      <w:pPr>
        <w:ind w:right="-144"/>
        <w:jc w:val="both"/>
      </w:pPr>
    </w:p>
    <w:p w:rsidR="00001675" w:rsidRDefault="00001675" w:rsidP="006E53A8">
      <w:pPr>
        <w:ind w:right="-144"/>
        <w:jc w:val="both"/>
      </w:pPr>
    </w:p>
    <w:p w:rsidR="009A4986" w:rsidRDefault="00AA01A2" w:rsidP="006E53A8">
      <w:pPr>
        <w:ind w:right="-144"/>
        <w:jc w:val="both"/>
      </w:pPr>
      <w:r>
        <w:rPr>
          <w:b/>
        </w:rPr>
        <w:lastRenderedPageBreak/>
        <w:t>Ek 3</w:t>
      </w:r>
      <w:r w:rsidR="000200F8">
        <w:rPr>
          <w:b/>
        </w:rPr>
        <w:t xml:space="preserve">: </w:t>
      </w:r>
      <w:r w:rsidR="000200F8" w:rsidRPr="000200F8">
        <w:rPr>
          <w:b/>
        </w:rPr>
        <w:t xml:space="preserve">54.07 </w:t>
      </w:r>
      <w:proofErr w:type="spellStart"/>
      <w:r w:rsidR="000200F8" w:rsidRPr="000200F8">
        <w:rPr>
          <w:b/>
        </w:rPr>
        <w:t>GTP</w:t>
      </w:r>
      <w:r>
        <w:rPr>
          <w:b/>
        </w:rPr>
        <w:t>’si</w:t>
      </w:r>
      <w:proofErr w:type="spellEnd"/>
      <w:r w:rsidR="000200F8" w:rsidRPr="000200F8">
        <w:rPr>
          <w:b/>
        </w:rPr>
        <w:t xml:space="preserve"> Kapsamı Malezya İthalat İstatistikleri (</w:t>
      </w:r>
      <w:proofErr w:type="spellStart"/>
      <w:r w:rsidR="000200F8" w:rsidRPr="000200F8">
        <w:rPr>
          <w:b/>
        </w:rPr>
        <w:t>Trademap</w:t>
      </w:r>
      <w:proofErr w:type="spellEnd"/>
      <w:r w:rsidR="000200F8" w:rsidRPr="000200F8">
        <w:rPr>
          <w:b/>
        </w:rPr>
        <w:t>)</w:t>
      </w:r>
    </w:p>
    <w:p w:rsidR="009A4986" w:rsidRDefault="009A4986" w:rsidP="006E53A8">
      <w:pPr>
        <w:ind w:right="-144"/>
        <w:jc w:val="both"/>
      </w:pPr>
    </w:p>
    <w:tbl>
      <w:tblPr>
        <w:tblW w:w="5000" w:type="pct"/>
        <w:jc w:val="center"/>
        <w:tblCellMar>
          <w:left w:w="70" w:type="dxa"/>
          <w:right w:w="70" w:type="dxa"/>
        </w:tblCellMar>
        <w:tblLook w:val="04A0" w:firstRow="1" w:lastRow="0" w:firstColumn="1" w:lastColumn="0" w:noHBand="0" w:noVBand="1"/>
      </w:tblPr>
      <w:tblGrid>
        <w:gridCol w:w="1595"/>
        <w:gridCol w:w="823"/>
        <w:gridCol w:w="824"/>
        <w:gridCol w:w="824"/>
        <w:gridCol w:w="824"/>
        <w:gridCol w:w="824"/>
        <w:gridCol w:w="635"/>
        <w:gridCol w:w="635"/>
        <w:gridCol w:w="635"/>
        <w:gridCol w:w="635"/>
        <w:gridCol w:w="806"/>
      </w:tblGrid>
      <w:tr w:rsidR="00001675" w:rsidRPr="00001675" w:rsidTr="00001675">
        <w:trPr>
          <w:trHeight w:val="540"/>
          <w:jc w:val="center"/>
        </w:trPr>
        <w:tc>
          <w:tcPr>
            <w:tcW w:w="8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01675" w:rsidRPr="00001675" w:rsidRDefault="00001675">
            <w:pPr>
              <w:rPr>
                <w:color w:val="000000"/>
                <w:sz w:val="18"/>
                <w:szCs w:val="18"/>
              </w:rPr>
            </w:pPr>
          </w:p>
        </w:tc>
        <w:tc>
          <w:tcPr>
            <w:tcW w:w="2359" w:type="pct"/>
            <w:gridSpan w:val="5"/>
            <w:tcBorders>
              <w:top w:val="single" w:sz="4" w:space="0" w:color="auto"/>
              <w:left w:val="nil"/>
              <w:bottom w:val="single" w:sz="4" w:space="0" w:color="auto"/>
              <w:right w:val="single" w:sz="4" w:space="0" w:color="auto"/>
            </w:tcBorders>
            <w:shd w:val="clear" w:color="auto" w:fill="auto"/>
            <w:vAlign w:val="bottom"/>
          </w:tcPr>
          <w:p w:rsidR="00001675" w:rsidRPr="00001675" w:rsidRDefault="00F74EF8">
            <w:pPr>
              <w:jc w:val="center"/>
              <w:rPr>
                <w:b/>
                <w:bCs/>
                <w:color w:val="000000"/>
                <w:sz w:val="18"/>
                <w:szCs w:val="18"/>
              </w:rPr>
            </w:pPr>
            <w:r w:rsidRPr="00001675">
              <w:rPr>
                <w:b/>
                <w:bCs/>
                <w:color w:val="000000"/>
                <w:sz w:val="18"/>
                <w:szCs w:val="18"/>
              </w:rPr>
              <w:t>İthalat Değeri (Bin ABD Doları)</w:t>
            </w:r>
          </w:p>
        </w:tc>
        <w:tc>
          <w:tcPr>
            <w:tcW w:w="1742" w:type="pct"/>
            <w:gridSpan w:val="5"/>
            <w:tcBorders>
              <w:top w:val="single" w:sz="4" w:space="0" w:color="auto"/>
              <w:left w:val="nil"/>
              <w:bottom w:val="single" w:sz="4" w:space="0" w:color="auto"/>
              <w:right w:val="single" w:sz="4" w:space="0" w:color="auto"/>
            </w:tcBorders>
            <w:vAlign w:val="bottom"/>
          </w:tcPr>
          <w:p w:rsidR="00001675" w:rsidRPr="00001675" w:rsidRDefault="00001675" w:rsidP="00001675">
            <w:pPr>
              <w:jc w:val="center"/>
              <w:rPr>
                <w:b/>
                <w:bCs/>
                <w:color w:val="000000"/>
                <w:sz w:val="18"/>
                <w:szCs w:val="18"/>
              </w:rPr>
            </w:pPr>
            <w:r w:rsidRPr="00001675">
              <w:rPr>
                <w:b/>
                <w:bCs/>
                <w:color w:val="000000"/>
                <w:sz w:val="18"/>
                <w:szCs w:val="18"/>
              </w:rPr>
              <w:t>İthalat Miktarı (Ton)</w:t>
            </w:r>
          </w:p>
        </w:tc>
      </w:tr>
      <w:tr w:rsidR="00001675" w:rsidRPr="00001675" w:rsidTr="00A44F14">
        <w:trPr>
          <w:trHeight w:val="540"/>
          <w:jc w:val="center"/>
        </w:trPr>
        <w:tc>
          <w:tcPr>
            <w:tcW w:w="8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675" w:rsidRPr="00001675" w:rsidRDefault="00001675" w:rsidP="00001675">
            <w:pPr>
              <w:rPr>
                <w:color w:val="000000"/>
                <w:sz w:val="18"/>
                <w:szCs w:val="18"/>
              </w:rPr>
            </w:pPr>
            <w:r w:rsidRPr="00001675">
              <w:rPr>
                <w:color w:val="000000"/>
                <w:sz w:val="18"/>
                <w:szCs w:val="18"/>
              </w:rPr>
              <w:t> </w:t>
            </w:r>
          </w:p>
        </w:tc>
        <w:tc>
          <w:tcPr>
            <w:tcW w:w="472" w:type="pct"/>
            <w:tcBorders>
              <w:top w:val="single" w:sz="4" w:space="0" w:color="auto"/>
              <w:left w:val="nil"/>
              <w:bottom w:val="single" w:sz="4" w:space="0" w:color="auto"/>
              <w:right w:val="single" w:sz="4" w:space="0" w:color="auto"/>
            </w:tcBorders>
            <w:shd w:val="clear" w:color="auto" w:fill="auto"/>
            <w:vAlign w:val="bottom"/>
            <w:hideMark/>
          </w:tcPr>
          <w:p w:rsidR="00001675" w:rsidRPr="00001675" w:rsidRDefault="00001675" w:rsidP="00001675">
            <w:pPr>
              <w:jc w:val="center"/>
              <w:rPr>
                <w:b/>
                <w:bCs/>
                <w:color w:val="000000"/>
                <w:sz w:val="18"/>
                <w:szCs w:val="18"/>
              </w:rPr>
            </w:pPr>
            <w:r w:rsidRPr="00001675">
              <w:rPr>
                <w:b/>
                <w:bCs/>
                <w:color w:val="000000"/>
                <w:sz w:val="18"/>
                <w:szCs w:val="18"/>
              </w:rPr>
              <w:t xml:space="preserve">2015                 </w:t>
            </w:r>
          </w:p>
        </w:tc>
        <w:tc>
          <w:tcPr>
            <w:tcW w:w="472" w:type="pct"/>
            <w:tcBorders>
              <w:top w:val="single" w:sz="4" w:space="0" w:color="auto"/>
              <w:left w:val="nil"/>
              <w:bottom w:val="single" w:sz="4" w:space="0" w:color="auto"/>
              <w:right w:val="single" w:sz="4" w:space="0" w:color="auto"/>
            </w:tcBorders>
            <w:shd w:val="clear" w:color="auto" w:fill="auto"/>
            <w:vAlign w:val="bottom"/>
            <w:hideMark/>
          </w:tcPr>
          <w:p w:rsidR="00001675" w:rsidRPr="00001675" w:rsidRDefault="00001675" w:rsidP="00001675">
            <w:pPr>
              <w:jc w:val="center"/>
              <w:rPr>
                <w:b/>
                <w:bCs/>
                <w:color w:val="000000"/>
                <w:sz w:val="18"/>
                <w:szCs w:val="18"/>
              </w:rPr>
            </w:pPr>
            <w:r w:rsidRPr="00001675">
              <w:rPr>
                <w:b/>
                <w:bCs/>
                <w:color w:val="000000"/>
                <w:sz w:val="18"/>
                <w:szCs w:val="18"/>
              </w:rPr>
              <w:t xml:space="preserve">2016                   </w:t>
            </w:r>
          </w:p>
        </w:tc>
        <w:tc>
          <w:tcPr>
            <w:tcW w:w="472" w:type="pct"/>
            <w:tcBorders>
              <w:top w:val="single" w:sz="4" w:space="0" w:color="auto"/>
              <w:left w:val="nil"/>
              <w:bottom w:val="single" w:sz="4" w:space="0" w:color="auto"/>
              <w:right w:val="single" w:sz="4" w:space="0" w:color="auto"/>
            </w:tcBorders>
            <w:shd w:val="clear" w:color="auto" w:fill="auto"/>
            <w:vAlign w:val="bottom"/>
            <w:hideMark/>
          </w:tcPr>
          <w:p w:rsidR="00001675" w:rsidRPr="00001675" w:rsidRDefault="00001675" w:rsidP="00001675">
            <w:pPr>
              <w:jc w:val="center"/>
              <w:rPr>
                <w:b/>
                <w:bCs/>
                <w:color w:val="000000"/>
                <w:sz w:val="18"/>
                <w:szCs w:val="18"/>
              </w:rPr>
            </w:pPr>
            <w:r w:rsidRPr="00001675">
              <w:rPr>
                <w:b/>
                <w:bCs/>
                <w:color w:val="000000"/>
                <w:sz w:val="18"/>
                <w:szCs w:val="18"/>
              </w:rPr>
              <w:t xml:space="preserve">2017                    </w:t>
            </w:r>
          </w:p>
        </w:tc>
        <w:tc>
          <w:tcPr>
            <w:tcW w:w="472" w:type="pct"/>
            <w:tcBorders>
              <w:top w:val="single" w:sz="4" w:space="0" w:color="auto"/>
              <w:left w:val="nil"/>
              <w:bottom w:val="single" w:sz="4" w:space="0" w:color="auto"/>
              <w:right w:val="single" w:sz="4" w:space="0" w:color="auto"/>
            </w:tcBorders>
            <w:shd w:val="clear" w:color="auto" w:fill="auto"/>
            <w:vAlign w:val="bottom"/>
            <w:hideMark/>
          </w:tcPr>
          <w:p w:rsidR="00001675" w:rsidRPr="00001675" w:rsidRDefault="00001675" w:rsidP="00001675">
            <w:pPr>
              <w:jc w:val="center"/>
              <w:rPr>
                <w:b/>
                <w:bCs/>
                <w:color w:val="000000"/>
                <w:sz w:val="18"/>
                <w:szCs w:val="18"/>
              </w:rPr>
            </w:pPr>
            <w:r w:rsidRPr="00001675">
              <w:rPr>
                <w:b/>
                <w:bCs/>
                <w:color w:val="000000"/>
                <w:sz w:val="18"/>
                <w:szCs w:val="18"/>
              </w:rPr>
              <w:t xml:space="preserve">2018                   </w:t>
            </w:r>
          </w:p>
        </w:tc>
        <w:tc>
          <w:tcPr>
            <w:tcW w:w="472" w:type="pct"/>
            <w:tcBorders>
              <w:top w:val="single" w:sz="4" w:space="0" w:color="auto"/>
              <w:left w:val="nil"/>
              <w:bottom w:val="single" w:sz="4" w:space="0" w:color="auto"/>
              <w:right w:val="single" w:sz="4" w:space="0" w:color="auto"/>
            </w:tcBorders>
            <w:shd w:val="clear" w:color="auto" w:fill="auto"/>
            <w:vAlign w:val="bottom"/>
            <w:hideMark/>
          </w:tcPr>
          <w:p w:rsidR="00001675" w:rsidRPr="00001675" w:rsidRDefault="00001675" w:rsidP="00001675">
            <w:pPr>
              <w:jc w:val="center"/>
              <w:rPr>
                <w:b/>
                <w:bCs/>
                <w:color w:val="000000"/>
                <w:sz w:val="18"/>
                <w:szCs w:val="18"/>
              </w:rPr>
            </w:pPr>
            <w:r w:rsidRPr="00001675">
              <w:rPr>
                <w:b/>
                <w:bCs/>
                <w:color w:val="000000"/>
                <w:sz w:val="18"/>
                <w:szCs w:val="18"/>
              </w:rPr>
              <w:t xml:space="preserve">2019(8)             </w:t>
            </w:r>
          </w:p>
        </w:tc>
        <w:tc>
          <w:tcPr>
            <w:tcW w:w="320" w:type="pct"/>
            <w:tcBorders>
              <w:top w:val="single" w:sz="4" w:space="0" w:color="auto"/>
              <w:left w:val="nil"/>
              <w:bottom w:val="single" w:sz="4" w:space="0" w:color="auto"/>
              <w:right w:val="single" w:sz="4" w:space="0" w:color="auto"/>
            </w:tcBorders>
            <w:vAlign w:val="bottom"/>
          </w:tcPr>
          <w:p w:rsidR="00001675" w:rsidRPr="00001675" w:rsidRDefault="00001675" w:rsidP="00001675">
            <w:pPr>
              <w:jc w:val="center"/>
              <w:rPr>
                <w:b/>
                <w:bCs/>
                <w:color w:val="000000"/>
                <w:sz w:val="18"/>
                <w:szCs w:val="18"/>
              </w:rPr>
            </w:pPr>
            <w:r w:rsidRPr="00001675">
              <w:rPr>
                <w:b/>
                <w:bCs/>
                <w:color w:val="000000"/>
                <w:sz w:val="18"/>
                <w:szCs w:val="18"/>
              </w:rPr>
              <w:t xml:space="preserve">2015                 </w:t>
            </w:r>
          </w:p>
        </w:tc>
        <w:tc>
          <w:tcPr>
            <w:tcW w:w="320" w:type="pct"/>
            <w:tcBorders>
              <w:top w:val="single" w:sz="4" w:space="0" w:color="auto"/>
              <w:left w:val="nil"/>
              <w:bottom w:val="single" w:sz="4" w:space="0" w:color="auto"/>
              <w:right w:val="single" w:sz="4" w:space="0" w:color="auto"/>
            </w:tcBorders>
            <w:vAlign w:val="bottom"/>
          </w:tcPr>
          <w:p w:rsidR="00001675" w:rsidRPr="00001675" w:rsidRDefault="00001675" w:rsidP="00001675">
            <w:pPr>
              <w:jc w:val="center"/>
              <w:rPr>
                <w:b/>
                <w:bCs/>
                <w:color w:val="000000"/>
                <w:sz w:val="18"/>
                <w:szCs w:val="18"/>
              </w:rPr>
            </w:pPr>
            <w:r w:rsidRPr="00001675">
              <w:rPr>
                <w:b/>
                <w:bCs/>
                <w:color w:val="000000"/>
                <w:sz w:val="18"/>
                <w:szCs w:val="18"/>
              </w:rPr>
              <w:t xml:space="preserve">2016                   </w:t>
            </w:r>
          </w:p>
        </w:tc>
        <w:tc>
          <w:tcPr>
            <w:tcW w:w="320" w:type="pct"/>
            <w:tcBorders>
              <w:top w:val="single" w:sz="4" w:space="0" w:color="auto"/>
              <w:left w:val="nil"/>
              <w:bottom w:val="single" w:sz="4" w:space="0" w:color="auto"/>
              <w:right w:val="single" w:sz="4" w:space="0" w:color="auto"/>
            </w:tcBorders>
            <w:vAlign w:val="bottom"/>
          </w:tcPr>
          <w:p w:rsidR="00001675" w:rsidRPr="00001675" w:rsidRDefault="00001675" w:rsidP="00001675">
            <w:pPr>
              <w:jc w:val="center"/>
              <w:rPr>
                <w:b/>
                <w:bCs/>
                <w:color w:val="000000"/>
                <w:sz w:val="18"/>
                <w:szCs w:val="18"/>
              </w:rPr>
            </w:pPr>
            <w:r w:rsidRPr="00001675">
              <w:rPr>
                <w:b/>
                <w:bCs/>
                <w:color w:val="000000"/>
                <w:sz w:val="18"/>
                <w:szCs w:val="18"/>
              </w:rPr>
              <w:t xml:space="preserve">2017                    </w:t>
            </w:r>
          </w:p>
        </w:tc>
        <w:tc>
          <w:tcPr>
            <w:tcW w:w="320" w:type="pct"/>
            <w:tcBorders>
              <w:top w:val="single" w:sz="4" w:space="0" w:color="auto"/>
              <w:left w:val="nil"/>
              <w:bottom w:val="single" w:sz="4" w:space="0" w:color="auto"/>
              <w:right w:val="single" w:sz="4" w:space="0" w:color="auto"/>
            </w:tcBorders>
            <w:vAlign w:val="bottom"/>
          </w:tcPr>
          <w:p w:rsidR="00001675" w:rsidRPr="00001675" w:rsidRDefault="00001675" w:rsidP="00001675">
            <w:pPr>
              <w:jc w:val="center"/>
              <w:rPr>
                <w:b/>
                <w:bCs/>
                <w:color w:val="000000"/>
                <w:sz w:val="18"/>
                <w:szCs w:val="18"/>
              </w:rPr>
            </w:pPr>
            <w:r w:rsidRPr="00001675">
              <w:rPr>
                <w:b/>
                <w:bCs/>
                <w:color w:val="000000"/>
                <w:sz w:val="18"/>
                <w:szCs w:val="18"/>
              </w:rPr>
              <w:t xml:space="preserve">2018                   </w:t>
            </w:r>
          </w:p>
        </w:tc>
        <w:tc>
          <w:tcPr>
            <w:tcW w:w="462" w:type="pct"/>
            <w:tcBorders>
              <w:top w:val="single" w:sz="4" w:space="0" w:color="auto"/>
              <w:left w:val="nil"/>
              <w:bottom w:val="single" w:sz="4" w:space="0" w:color="auto"/>
              <w:right w:val="single" w:sz="4" w:space="0" w:color="auto"/>
            </w:tcBorders>
            <w:vAlign w:val="bottom"/>
          </w:tcPr>
          <w:p w:rsidR="00001675" w:rsidRPr="00001675" w:rsidRDefault="00001675" w:rsidP="00001675">
            <w:pPr>
              <w:jc w:val="center"/>
              <w:rPr>
                <w:b/>
                <w:bCs/>
                <w:color w:val="000000"/>
                <w:sz w:val="18"/>
                <w:szCs w:val="18"/>
              </w:rPr>
            </w:pPr>
            <w:r w:rsidRPr="00001675">
              <w:rPr>
                <w:b/>
                <w:bCs/>
                <w:color w:val="000000"/>
                <w:sz w:val="18"/>
                <w:szCs w:val="18"/>
              </w:rPr>
              <w:t xml:space="preserve">2019(8)             </w:t>
            </w:r>
          </w:p>
        </w:tc>
      </w:tr>
      <w:tr w:rsidR="00A44F14" w:rsidRPr="00001675" w:rsidTr="00A44F14">
        <w:trPr>
          <w:trHeight w:val="300"/>
          <w:jc w:val="center"/>
        </w:trPr>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2E22E4" w:rsidRPr="00001675" w:rsidRDefault="002E22E4" w:rsidP="002E22E4">
            <w:pPr>
              <w:rPr>
                <w:color w:val="000000"/>
                <w:sz w:val="18"/>
                <w:szCs w:val="18"/>
              </w:rPr>
            </w:pPr>
            <w:r w:rsidRPr="00001675">
              <w:rPr>
                <w:color w:val="000000"/>
                <w:sz w:val="18"/>
                <w:szCs w:val="18"/>
              </w:rPr>
              <w:t>TOPLAM</w:t>
            </w:r>
          </w:p>
        </w:tc>
        <w:tc>
          <w:tcPr>
            <w:tcW w:w="472" w:type="pct"/>
            <w:tcBorders>
              <w:top w:val="nil"/>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262.335</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316.154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315.956</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300.219</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151.167</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67.349</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80.469</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80.330</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75.362</w:t>
            </w:r>
          </w:p>
        </w:tc>
        <w:tc>
          <w:tcPr>
            <w:tcW w:w="462"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43.675</w:t>
            </w:r>
          </w:p>
        </w:tc>
      </w:tr>
      <w:tr w:rsidR="002E22E4" w:rsidRPr="00001675" w:rsidTr="00A44F14">
        <w:trPr>
          <w:trHeight w:val="300"/>
          <w:jc w:val="center"/>
        </w:trPr>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2E22E4" w:rsidRPr="00001675" w:rsidRDefault="002E22E4" w:rsidP="002E22E4">
            <w:pPr>
              <w:rPr>
                <w:color w:val="000000"/>
                <w:sz w:val="18"/>
                <w:szCs w:val="18"/>
              </w:rPr>
            </w:pPr>
            <w:r w:rsidRPr="00001675">
              <w:rPr>
                <w:color w:val="000000"/>
                <w:sz w:val="18"/>
                <w:szCs w:val="18"/>
              </w:rPr>
              <w:t>ÇHC</w:t>
            </w:r>
          </w:p>
        </w:tc>
        <w:tc>
          <w:tcPr>
            <w:tcW w:w="472" w:type="pct"/>
            <w:tcBorders>
              <w:top w:val="nil"/>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158.942</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207.289</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204.175</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193.442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94.781</w:t>
            </w:r>
          </w:p>
        </w:tc>
        <w:tc>
          <w:tcPr>
            <w:tcW w:w="320" w:type="pct"/>
            <w:tcBorders>
              <w:top w:val="single" w:sz="4" w:space="0" w:color="auto"/>
              <w:left w:val="single" w:sz="4" w:space="0" w:color="auto"/>
              <w:bottom w:val="single" w:sz="4" w:space="0" w:color="auto"/>
              <w:right w:val="single" w:sz="4" w:space="0" w:color="auto"/>
            </w:tcBorders>
            <w:shd w:val="clear" w:color="000000" w:fill="FFFFFF"/>
            <w:vAlign w:val="center"/>
          </w:tcPr>
          <w:p w:rsidR="002E22E4" w:rsidRPr="002E22E4" w:rsidRDefault="002E22E4" w:rsidP="002E22E4">
            <w:pPr>
              <w:jc w:val="center"/>
              <w:rPr>
                <w:color w:val="000000"/>
                <w:sz w:val="18"/>
                <w:szCs w:val="18"/>
              </w:rPr>
            </w:pPr>
            <w:r w:rsidRPr="002E22E4">
              <w:rPr>
                <w:color w:val="000000"/>
                <w:sz w:val="18"/>
                <w:szCs w:val="18"/>
              </w:rPr>
              <w:t>32.879</w:t>
            </w:r>
          </w:p>
        </w:tc>
        <w:tc>
          <w:tcPr>
            <w:tcW w:w="320" w:type="pct"/>
            <w:tcBorders>
              <w:top w:val="single" w:sz="4" w:space="0" w:color="auto"/>
              <w:left w:val="single" w:sz="4" w:space="0" w:color="auto"/>
              <w:bottom w:val="single" w:sz="4" w:space="0" w:color="auto"/>
              <w:right w:val="single" w:sz="4" w:space="0" w:color="auto"/>
            </w:tcBorders>
            <w:shd w:val="clear" w:color="000000" w:fill="FFFFFF"/>
            <w:vAlign w:val="center"/>
          </w:tcPr>
          <w:p w:rsidR="002E22E4" w:rsidRPr="002E22E4" w:rsidRDefault="002E22E4" w:rsidP="002E22E4">
            <w:pPr>
              <w:jc w:val="center"/>
              <w:rPr>
                <w:color w:val="000000"/>
                <w:sz w:val="18"/>
                <w:szCs w:val="18"/>
              </w:rPr>
            </w:pPr>
            <w:r w:rsidRPr="002E22E4">
              <w:rPr>
                <w:color w:val="000000"/>
                <w:sz w:val="18"/>
                <w:szCs w:val="18"/>
              </w:rPr>
              <w:t>45.289</w:t>
            </w:r>
          </w:p>
        </w:tc>
        <w:tc>
          <w:tcPr>
            <w:tcW w:w="320" w:type="pct"/>
            <w:tcBorders>
              <w:top w:val="single" w:sz="4" w:space="0" w:color="auto"/>
              <w:left w:val="single" w:sz="4" w:space="0" w:color="auto"/>
              <w:bottom w:val="single" w:sz="4" w:space="0" w:color="auto"/>
              <w:right w:val="single" w:sz="4" w:space="0" w:color="auto"/>
            </w:tcBorders>
            <w:shd w:val="clear" w:color="000000" w:fill="FFFFFF"/>
            <w:vAlign w:val="center"/>
          </w:tcPr>
          <w:p w:rsidR="002E22E4" w:rsidRPr="002E22E4" w:rsidRDefault="002E22E4" w:rsidP="002E22E4">
            <w:pPr>
              <w:jc w:val="center"/>
              <w:rPr>
                <w:color w:val="000000"/>
                <w:sz w:val="18"/>
                <w:szCs w:val="18"/>
              </w:rPr>
            </w:pPr>
            <w:r w:rsidRPr="002E22E4">
              <w:rPr>
                <w:color w:val="000000"/>
                <w:sz w:val="18"/>
                <w:szCs w:val="18"/>
              </w:rPr>
              <w:t>45.324</w:t>
            </w:r>
          </w:p>
        </w:tc>
        <w:tc>
          <w:tcPr>
            <w:tcW w:w="320" w:type="pct"/>
            <w:tcBorders>
              <w:top w:val="single" w:sz="4" w:space="0" w:color="auto"/>
              <w:left w:val="single" w:sz="4" w:space="0" w:color="auto"/>
              <w:bottom w:val="single" w:sz="4" w:space="0" w:color="auto"/>
              <w:right w:val="single" w:sz="4" w:space="0" w:color="auto"/>
            </w:tcBorders>
            <w:shd w:val="clear" w:color="000000" w:fill="FFFFFF"/>
            <w:vAlign w:val="center"/>
          </w:tcPr>
          <w:p w:rsidR="002E22E4" w:rsidRPr="002E22E4" w:rsidRDefault="002E22E4" w:rsidP="002E22E4">
            <w:pPr>
              <w:jc w:val="center"/>
              <w:rPr>
                <w:color w:val="000000"/>
                <w:sz w:val="18"/>
                <w:szCs w:val="18"/>
              </w:rPr>
            </w:pPr>
            <w:r w:rsidRPr="002E22E4">
              <w:rPr>
                <w:color w:val="000000"/>
                <w:sz w:val="18"/>
                <w:szCs w:val="18"/>
              </w:rPr>
              <w:t>42.797</w:t>
            </w:r>
          </w:p>
        </w:tc>
        <w:tc>
          <w:tcPr>
            <w:tcW w:w="462"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23.225</w:t>
            </w:r>
          </w:p>
        </w:tc>
      </w:tr>
      <w:tr w:rsidR="002E22E4" w:rsidRPr="00001675" w:rsidTr="00A44F14">
        <w:trPr>
          <w:trHeight w:val="300"/>
          <w:jc w:val="center"/>
        </w:trPr>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2E22E4" w:rsidRPr="00001675" w:rsidRDefault="002E22E4" w:rsidP="002E22E4">
            <w:pPr>
              <w:rPr>
                <w:color w:val="000000"/>
                <w:sz w:val="18"/>
                <w:szCs w:val="18"/>
              </w:rPr>
            </w:pPr>
            <w:r w:rsidRPr="00001675">
              <w:rPr>
                <w:color w:val="000000"/>
                <w:sz w:val="18"/>
                <w:szCs w:val="18"/>
              </w:rPr>
              <w:t>ENDONEZYA</w:t>
            </w:r>
          </w:p>
        </w:tc>
        <w:tc>
          <w:tcPr>
            <w:tcW w:w="472" w:type="pct"/>
            <w:tcBorders>
              <w:top w:val="nil"/>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35.590</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37.203</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35.647</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27.734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14.483</w:t>
            </w:r>
          </w:p>
        </w:tc>
        <w:tc>
          <w:tcPr>
            <w:tcW w:w="320" w:type="pct"/>
            <w:tcBorders>
              <w:top w:val="single" w:sz="4" w:space="0" w:color="auto"/>
              <w:left w:val="single" w:sz="4" w:space="0" w:color="auto"/>
              <w:bottom w:val="single" w:sz="4" w:space="0" w:color="auto"/>
              <w:right w:val="single" w:sz="4" w:space="0" w:color="auto"/>
            </w:tcBorders>
            <w:shd w:val="clear" w:color="000000" w:fill="FFFFFF"/>
            <w:vAlign w:val="center"/>
          </w:tcPr>
          <w:p w:rsidR="002E22E4" w:rsidRPr="002E22E4" w:rsidRDefault="002E22E4" w:rsidP="002E22E4">
            <w:pPr>
              <w:jc w:val="center"/>
              <w:rPr>
                <w:color w:val="000000"/>
                <w:sz w:val="18"/>
                <w:szCs w:val="18"/>
              </w:rPr>
            </w:pPr>
            <w:r w:rsidRPr="002E22E4">
              <w:rPr>
                <w:color w:val="000000"/>
                <w:sz w:val="18"/>
                <w:szCs w:val="18"/>
              </w:rPr>
              <w:t>13.098</w:t>
            </w:r>
          </w:p>
        </w:tc>
        <w:tc>
          <w:tcPr>
            <w:tcW w:w="320" w:type="pct"/>
            <w:tcBorders>
              <w:top w:val="single" w:sz="4" w:space="0" w:color="auto"/>
              <w:left w:val="single" w:sz="4" w:space="0" w:color="auto"/>
              <w:bottom w:val="single" w:sz="4" w:space="0" w:color="auto"/>
              <w:right w:val="single" w:sz="4" w:space="0" w:color="auto"/>
            </w:tcBorders>
            <w:shd w:val="clear" w:color="000000" w:fill="FFFFFF"/>
            <w:vAlign w:val="center"/>
          </w:tcPr>
          <w:p w:rsidR="002E22E4" w:rsidRPr="002E22E4" w:rsidRDefault="002E22E4" w:rsidP="002E22E4">
            <w:pPr>
              <w:jc w:val="center"/>
              <w:rPr>
                <w:color w:val="000000"/>
                <w:sz w:val="18"/>
                <w:szCs w:val="18"/>
              </w:rPr>
            </w:pPr>
            <w:r w:rsidRPr="002E22E4">
              <w:rPr>
                <w:color w:val="000000"/>
                <w:sz w:val="18"/>
                <w:szCs w:val="18"/>
              </w:rPr>
              <w:t>12.727</w:t>
            </w:r>
          </w:p>
        </w:tc>
        <w:tc>
          <w:tcPr>
            <w:tcW w:w="320" w:type="pct"/>
            <w:tcBorders>
              <w:top w:val="single" w:sz="4" w:space="0" w:color="auto"/>
              <w:left w:val="single" w:sz="4" w:space="0" w:color="auto"/>
              <w:bottom w:val="single" w:sz="4" w:space="0" w:color="auto"/>
              <w:right w:val="single" w:sz="4" w:space="0" w:color="auto"/>
            </w:tcBorders>
            <w:shd w:val="clear" w:color="000000" w:fill="FFFFFF"/>
            <w:vAlign w:val="center"/>
          </w:tcPr>
          <w:p w:rsidR="002E22E4" w:rsidRPr="002E22E4" w:rsidRDefault="002E22E4" w:rsidP="002E22E4">
            <w:pPr>
              <w:jc w:val="center"/>
              <w:rPr>
                <w:color w:val="000000"/>
                <w:sz w:val="18"/>
                <w:szCs w:val="18"/>
              </w:rPr>
            </w:pPr>
            <w:r w:rsidRPr="002E22E4">
              <w:rPr>
                <w:color w:val="000000"/>
                <w:sz w:val="18"/>
                <w:szCs w:val="18"/>
              </w:rPr>
              <w:t>12.692</w:t>
            </w:r>
          </w:p>
        </w:tc>
        <w:tc>
          <w:tcPr>
            <w:tcW w:w="320" w:type="pct"/>
            <w:tcBorders>
              <w:top w:val="single" w:sz="4" w:space="0" w:color="auto"/>
              <w:left w:val="single" w:sz="4" w:space="0" w:color="auto"/>
              <w:bottom w:val="single" w:sz="4" w:space="0" w:color="auto"/>
              <w:right w:val="single" w:sz="4" w:space="0" w:color="auto"/>
            </w:tcBorders>
            <w:shd w:val="clear" w:color="000000" w:fill="FFFFFF"/>
            <w:vAlign w:val="center"/>
          </w:tcPr>
          <w:p w:rsidR="002E22E4" w:rsidRPr="002E22E4" w:rsidRDefault="002E22E4" w:rsidP="002E22E4">
            <w:pPr>
              <w:jc w:val="center"/>
              <w:rPr>
                <w:color w:val="000000"/>
                <w:sz w:val="18"/>
                <w:szCs w:val="18"/>
              </w:rPr>
            </w:pPr>
            <w:r w:rsidRPr="002E22E4">
              <w:rPr>
                <w:color w:val="000000"/>
                <w:sz w:val="18"/>
                <w:szCs w:val="18"/>
              </w:rPr>
              <w:t>9.258</w:t>
            </w:r>
          </w:p>
        </w:tc>
        <w:tc>
          <w:tcPr>
            <w:tcW w:w="462"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5.823</w:t>
            </w:r>
          </w:p>
        </w:tc>
      </w:tr>
      <w:tr w:rsidR="002E22E4" w:rsidRPr="00001675" w:rsidTr="00A44F14">
        <w:trPr>
          <w:trHeight w:val="300"/>
          <w:jc w:val="center"/>
        </w:trPr>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2E22E4" w:rsidRPr="00001675" w:rsidRDefault="002E22E4" w:rsidP="002E22E4">
            <w:pPr>
              <w:rPr>
                <w:color w:val="000000"/>
                <w:sz w:val="18"/>
                <w:szCs w:val="18"/>
              </w:rPr>
            </w:pPr>
            <w:r w:rsidRPr="00001675">
              <w:rPr>
                <w:color w:val="000000"/>
                <w:sz w:val="18"/>
                <w:szCs w:val="18"/>
              </w:rPr>
              <w:t>VİETNAM</w:t>
            </w:r>
          </w:p>
        </w:tc>
        <w:tc>
          <w:tcPr>
            <w:tcW w:w="472" w:type="pct"/>
            <w:tcBorders>
              <w:top w:val="nil"/>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20.451</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21.647</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22.318</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25.273</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17.566</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11.837</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13.246</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13.071</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14.468</w:t>
            </w:r>
          </w:p>
        </w:tc>
        <w:tc>
          <w:tcPr>
            <w:tcW w:w="462"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10.542</w:t>
            </w:r>
          </w:p>
        </w:tc>
      </w:tr>
      <w:tr w:rsidR="002E22E4" w:rsidRPr="00001675" w:rsidTr="00A44F14">
        <w:trPr>
          <w:trHeight w:val="300"/>
          <w:jc w:val="center"/>
        </w:trPr>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2E22E4" w:rsidRPr="00001675" w:rsidRDefault="002E22E4" w:rsidP="002E22E4">
            <w:pPr>
              <w:rPr>
                <w:color w:val="000000"/>
                <w:sz w:val="18"/>
                <w:szCs w:val="18"/>
              </w:rPr>
            </w:pPr>
            <w:r w:rsidRPr="00001675">
              <w:rPr>
                <w:color w:val="000000"/>
                <w:sz w:val="18"/>
                <w:szCs w:val="18"/>
              </w:rPr>
              <w:t>HİNDİSTAN</w:t>
            </w:r>
          </w:p>
        </w:tc>
        <w:tc>
          <w:tcPr>
            <w:tcW w:w="472" w:type="pct"/>
            <w:tcBorders>
              <w:top w:val="nil"/>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9.884</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12.392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9.818</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9.992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4.217</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1.732</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2.170</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1.649</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1.741</w:t>
            </w:r>
          </w:p>
        </w:tc>
        <w:tc>
          <w:tcPr>
            <w:tcW w:w="462"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680</w:t>
            </w:r>
          </w:p>
        </w:tc>
      </w:tr>
      <w:tr w:rsidR="002E22E4" w:rsidRPr="00001675" w:rsidTr="00A44F14">
        <w:trPr>
          <w:trHeight w:val="300"/>
          <w:jc w:val="center"/>
        </w:trPr>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2E22E4" w:rsidRPr="00001675" w:rsidRDefault="002E22E4" w:rsidP="002E22E4">
            <w:pPr>
              <w:rPr>
                <w:color w:val="000000"/>
                <w:sz w:val="18"/>
                <w:szCs w:val="18"/>
              </w:rPr>
            </w:pPr>
            <w:r w:rsidRPr="00001675">
              <w:rPr>
                <w:color w:val="000000"/>
                <w:sz w:val="18"/>
                <w:szCs w:val="18"/>
              </w:rPr>
              <w:t>ÇİN TAYVANI</w:t>
            </w:r>
          </w:p>
        </w:tc>
        <w:tc>
          <w:tcPr>
            <w:tcW w:w="472" w:type="pct"/>
            <w:tcBorders>
              <w:top w:val="nil"/>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9.888</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10.232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10.057</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8.257</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3.629</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1.209</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1.110</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1.274</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1.263</w:t>
            </w:r>
          </w:p>
        </w:tc>
        <w:tc>
          <w:tcPr>
            <w:tcW w:w="462"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547</w:t>
            </w:r>
          </w:p>
        </w:tc>
      </w:tr>
      <w:tr w:rsidR="002E22E4" w:rsidRPr="00001675" w:rsidTr="00A44F14">
        <w:trPr>
          <w:trHeight w:val="300"/>
          <w:jc w:val="center"/>
        </w:trPr>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2E22E4" w:rsidRPr="00001675" w:rsidRDefault="002E22E4" w:rsidP="002E22E4">
            <w:pPr>
              <w:rPr>
                <w:color w:val="000000"/>
                <w:sz w:val="18"/>
                <w:szCs w:val="18"/>
              </w:rPr>
            </w:pPr>
            <w:r w:rsidRPr="00001675">
              <w:rPr>
                <w:color w:val="000000"/>
                <w:sz w:val="18"/>
                <w:szCs w:val="18"/>
              </w:rPr>
              <w:t>GÜNEY KORE</w:t>
            </w:r>
          </w:p>
        </w:tc>
        <w:tc>
          <w:tcPr>
            <w:tcW w:w="472" w:type="pct"/>
            <w:tcBorders>
              <w:top w:val="nil"/>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10.096</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7.656</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8.141</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7.675</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3.971</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3.309</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2.120</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2.487</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2.122</w:t>
            </w:r>
          </w:p>
        </w:tc>
        <w:tc>
          <w:tcPr>
            <w:tcW w:w="462"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1.012</w:t>
            </w:r>
          </w:p>
        </w:tc>
      </w:tr>
      <w:tr w:rsidR="002E22E4" w:rsidRPr="00001675" w:rsidTr="00A44F14">
        <w:trPr>
          <w:trHeight w:val="300"/>
          <w:jc w:val="center"/>
        </w:trPr>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2E22E4" w:rsidRPr="00001675" w:rsidRDefault="002E22E4" w:rsidP="002E22E4">
            <w:pPr>
              <w:rPr>
                <w:color w:val="000000"/>
                <w:sz w:val="18"/>
                <w:szCs w:val="18"/>
              </w:rPr>
            </w:pPr>
            <w:r w:rsidRPr="00001675">
              <w:rPr>
                <w:color w:val="000000"/>
                <w:sz w:val="18"/>
                <w:szCs w:val="18"/>
              </w:rPr>
              <w:t>JAPONYA</w:t>
            </w:r>
          </w:p>
        </w:tc>
        <w:tc>
          <w:tcPr>
            <w:tcW w:w="472" w:type="pct"/>
            <w:tcBorders>
              <w:top w:val="nil"/>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2.476</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4.139</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6.209</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6.918</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2.795</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460</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522</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538</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649</w:t>
            </w:r>
          </w:p>
        </w:tc>
        <w:tc>
          <w:tcPr>
            <w:tcW w:w="462"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293</w:t>
            </w:r>
          </w:p>
        </w:tc>
      </w:tr>
      <w:tr w:rsidR="002E22E4" w:rsidRPr="00001675" w:rsidTr="00A44F14">
        <w:trPr>
          <w:trHeight w:val="300"/>
          <w:jc w:val="center"/>
        </w:trPr>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2E22E4" w:rsidRPr="00001675" w:rsidRDefault="002E22E4" w:rsidP="002E22E4">
            <w:pPr>
              <w:rPr>
                <w:color w:val="000000"/>
                <w:sz w:val="18"/>
                <w:szCs w:val="18"/>
              </w:rPr>
            </w:pPr>
            <w:r w:rsidRPr="00001675">
              <w:rPr>
                <w:color w:val="000000"/>
                <w:sz w:val="18"/>
                <w:szCs w:val="18"/>
              </w:rPr>
              <w:t>PAKİSTAN</w:t>
            </w:r>
          </w:p>
        </w:tc>
        <w:tc>
          <w:tcPr>
            <w:tcW w:w="472" w:type="pct"/>
            <w:tcBorders>
              <w:top w:val="nil"/>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630</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1.171</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3.252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6.883</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2.815</w:t>
            </w:r>
          </w:p>
        </w:tc>
        <w:tc>
          <w:tcPr>
            <w:tcW w:w="320" w:type="pct"/>
            <w:tcBorders>
              <w:top w:val="single" w:sz="4" w:space="0" w:color="auto"/>
              <w:left w:val="single" w:sz="4" w:space="0" w:color="auto"/>
              <w:bottom w:val="single" w:sz="4" w:space="0" w:color="auto"/>
              <w:right w:val="single" w:sz="4" w:space="0" w:color="auto"/>
            </w:tcBorders>
            <w:shd w:val="clear" w:color="000000" w:fill="FFFFFF"/>
            <w:vAlign w:val="center"/>
          </w:tcPr>
          <w:p w:rsidR="002E22E4" w:rsidRPr="002E22E4" w:rsidRDefault="002E22E4" w:rsidP="002E22E4">
            <w:pPr>
              <w:jc w:val="center"/>
              <w:rPr>
                <w:color w:val="000000"/>
                <w:sz w:val="18"/>
                <w:szCs w:val="18"/>
              </w:rPr>
            </w:pPr>
            <w:r w:rsidRPr="002E22E4">
              <w:rPr>
                <w:color w:val="000000"/>
                <w:sz w:val="18"/>
                <w:szCs w:val="18"/>
              </w:rPr>
              <w:t>230</w:t>
            </w:r>
          </w:p>
        </w:tc>
        <w:tc>
          <w:tcPr>
            <w:tcW w:w="320" w:type="pct"/>
            <w:tcBorders>
              <w:top w:val="single" w:sz="4" w:space="0" w:color="auto"/>
              <w:left w:val="single" w:sz="4" w:space="0" w:color="auto"/>
              <w:bottom w:val="single" w:sz="4" w:space="0" w:color="auto"/>
              <w:right w:val="single" w:sz="4" w:space="0" w:color="auto"/>
            </w:tcBorders>
            <w:shd w:val="clear" w:color="000000" w:fill="FFFFFF"/>
            <w:vAlign w:val="center"/>
          </w:tcPr>
          <w:p w:rsidR="002E22E4" w:rsidRPr="002E22E4" w:rsidRDefault="002E22E4" w:rsidP="002E22E4">
            <w:pPr>
              <w:jc w:val="center"/>
              <w:rPr>
                <w:color w:val="000000"/>
                <w:sz w:val="18"/>
                <w:szCs w:val="18"/>
              </w:rPr>
            </w:pPr>
            <w:r w:rsidRPr="002E22E4">
              <w:rPr>
                <w:color w:val="000000"/>
                <w:sz w:val="18"/>
                <w:szCs w:val="18"/>
              </w:rPr>
              <w:t>420</w:t>
            </w:r>
          </w:p>
        </w:tc>
        <w:tc>
          <w:tcPr>
            <w:tcW w:w="320" w:type="pct"/>
            <w:tcBorders>
              <w:top w:val="single" w:sz="4" w:space="0" w:color="auto"/>
              <w:left w:val="single" w:sz="4" w:space="0" w:color="auto"/>
              <w:bottom w:val="single" w:sz="4" w:space="0" w:color="auto"/>
              <w:right w:val="single" w:sz="4" w:space="0" w:color="auto"/>
            </w:tcBorders>
            <w:shd w:val="clear" w:color="000000" w:fill="FFFFFF"/>
            <w:vAlign w:val="center"/>
          </w:tcPr>
          <w:p w:rsidR="002E22E4" w:rsidRPr="002E22E4" w:rsidRDefault="002E22E4" w:rsidP="002E22E4">
            <w:pPr>
              <w:jc w:val="center"/>
              <w:rPr>
                <w:color w:val="000000"/>
                <w:sz w:val="18"/>
                <w:szCs w:val="18"/>
              </w:rPr>
            </w:pPr>
            <w:r w:rsidRPr="002E22E4">
              <w:rPr>
                <w:color w:val="000000"/>
                <w:sz w:val="18"/>
                <w:szCs w:val="18"/>
              </w:rPr>
              <w:t>486</w:t>
            </w:r>
          </w:p>
        </w:tc>
        <w:tc>
          <w:tcPr>
            <w:tcW w:w="320" w:type="pct"/>
            <w:tcBorders>
              <w:top w:val="single" w:sz="4" w:space="0" w:color="auto"/>
              <w:left w:val="single" w:sz="4" w:space="0" w:color="auto"/>
              <w:bottom w:val="single" w:sz="4" w:space="0" w:color="auto"/>
              <w:right w:val="single" w:sz="4" w:space="0" w:color="auto"/>
            </w:tcBorders>
            <w:shd w:val="clear" w:color="000000" w:fill="FFFFFF"/>
            <w:vAlign w:val="center"/>
          </w:tcPr>
          <w:p w:rsidR="002E22E4" w:rsidRPr="002E22E4" w:rsidRDefault="002E22E4" w:rsidP="002E22E4">
            <w:pPr>
              <w:jc w:val="center"/>
              <w:rPr>
                <w:color w:val="000000"/>
                <w:sz w:val="18"/>
                <w:szCs w:val="18"/>
              </w:rPr>
            </w:pPr>
            <w:r w:rsidRPr="002E22E4">
              <w:rPr>
                <w:color w:val="000000"/>
                <w:sz w:val="18"/>
                <w:szCs w:val="18"/>
              </w:rPr>
              <w:t>609</w:t>
            </w:r>
          </w:p>
        </w:tc>
        <w:tc>
          <w:tcPr>
            <w:tcW w:w="462"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298</w:t>
            </w:r>
          </w:p>
        </w:tc>
      </w:tr>
      <w:tr w:rsidR="002E22E4" w:rsidRPr="00001675" w:rsidTr="00A44F14">
        <w:trPr>
          <w:trHeight w:val="300"/>
          <w:jc w:val="center"/>
        </w:trPr>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2E22E4" w:rsidRPr="00001675" w:rsidRDefault="002E22E4" w:rsidP="002E22E4">
            <w:pPr>
              <w:rPr>
                <w:color w:val="000000"/>
                <w:sz w:val="18"/>
                <w:szCs w:val="18"/>
              </w:rPr>
            </w:pPr>
            <w:r w:rsidRPr="00001675">
              <w:rPr>
                <w:color w:val="000000"/>
                <w:sz w:val="18"/>
                <w:szCs w:val="18"/>
              </w:rPr>
              <w:t>TÜRKİYE</w:t>
            </w:r>
          </w:p>
        </w:tc>
        <w:tc>
          <w:tcPr>
            <w:tcW w:w="472" w:type="pct"/>
            <w:tcBorders>
              <w:top w:val="nil"/>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1.587</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2.945</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2.736</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2.733</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931</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207</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389</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420</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389</w:t>
            </w:r>
          </w:p>
        </w:tc>
        <w:tc>
          <w:tcPr>
            <w:tcW w:w="462"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165</w:t>
            </w:r>
          </w:p>
        </w:tc>
      </w:tr>
      <w:tr w:rsidR="002E22E4" w:rsidRPr="00001675" w:rsidTr="00A44F14">
        <w:trPr>
          <w:trHeight w:val="300"/>
          <w:jc w:val="center"/>
        </w:trPr>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2E22E4" w:rsidRPr="00001675" w:rsidRDefault="002E22E4" w:rsidP="002E22E4">
            <w:pPr>
              <w:rPr>
                <w:color w:val="000000"/>
                <w:sz w:val="18"/>
                <w:szCs w:val="18"/>
              </w:rPr>
            </w:pPr>
            <w:r w:rsidRPr="00001675">
              <w:rPr>
                <w:color w:val="000000"/>
                <w:sz w:val="18"/>
                <w:szCs w:val="18"/>
              </w:rPr>
              <w:t>TAYLAND</w:t>
            </w:r>
          </w:p>
        </w:tc>
        <w:tc>
          <w:tcPr>
            <w:tcW w:w="472" w:type="pct"/>
            <w:tcBorders>
              <w:top w:val="nil"/>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4.966</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3.115</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3.984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2.690</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2.153</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609</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559</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725</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716</w:t>
            </w:r>
          </w:p>
        </w:tc>
        <w:tc>
          <w:tcPr>
            <w:tcW w:w="462"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468</w:t>
            </w:r>
          </w:p>
        </w:tc>
      </w:tr>
      <w:tr w:rsidR="002E22E4" w:rsidRPr="00001675" w:rsidTr="00A44F14">
        <w:trPr>
          <w:trHeight w:val="300"/>
          <w:jc w:val="center"/>
        </w:trPr>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2E22E4" w:rsidRPr="00001675" w:rsidRDefault="002E22E4" w:rsidP="002E22E4">
            <w:pPr>
              <w:rPr>
                <w:color w:val="000000"/>
                <w:sz w:val="18"/>
                <w:szCs w:val="18"/>
              </w:rPr>
            </w:pPr>
            <w:r w:rsidRPr="00001675">
              <w:rPr>
                <w:color w:val="000000"/>
                <w:sz w:val="18"/>
                <w:szCs w:val="18"/>
              </w:rPr>
              <w:t>DİĞER</w:t>
            </w:r>
          </w:p>
        </w:tc>
        <w:tc>
          <w:tcPr>
            <w:tcW w:w="472" w:type="pct"/>
            <w:tcBorders>
              <w:top w:val="nil"/>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7.825</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8.365</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9.619</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8.622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2E4" w:rsidRPr="00001675" w:rsidRDefault="002E22E4" w:rsidP="002E22E4">
            <w:pPr>
              <w:jc w:val="center"/>
              <w:rPr>
                <w:color w:val="000000"/>
                <w:sz w:val="18"/>
                <w:szCs w:val="18"/>
              </w:rPr>
            </w:pPr>
            <w:r w:rsidRPr="00001675">
              <w:rPr>
                <w:color w:val="000000"/>
                <w:sz w:val="18"/>
                <w:szCs w:val="18"/>
              </w:rPr>
              <w:t>3.826</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1.779</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1.917</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1.664</w:t>
            </w:r>
          </w:p>
        </w:tc>
        <w:tc>
          <w:tcPr>
            <w:tcW w:w="320"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1.350</w:t>
            </w:r>
          </w:p>
        </w:tc>
        <w:tc>
          <w:tcPr>
            <w:tcW w:w="462" w:type="pct"/>
            <w:tcBorders>
              <w:top w:val="single" w:sz="4" w:space="0" w:color="auto"/>
              <w:left w:val="single" w:sz="4" w:space="0" w:color="auto"/>
              <w:bottom w:val="single" w:sz="4" w:space="0" w:color="auto"/>
              <w:right w:val="single" w:sz="4" w:space="0" w:color="auto"/>
            </w:tcBorders>
            <w:shd w:val="clear" w:color="000000" w:fill="F7F6F3"/>
            <w:vAlign w:val="center"/>
          </w:tcPr>
          <w:p w:rsidR="002E22E4" w:rsidRPr="002E22E4" w:rsidRDefault="002E22E4" w:rsidP="002E22E4">
            <w:pPr>
              <w:jc w:val="center"/>
              <w:rPr>
                <w:color w:val="000000"/>
                <w:sz w:val="18"/>
                <w:szCs w:val="18"/>
              </w:rPr>
            </w:pPr>
            <w:r w:rsidRPr="002E22E4">
              <w:rPr>
                <w:color w:val="000000"/>
                <w:sz w:val="18"/>
                <w:szCs w:val="18"/>
              </w:rPr>
              <w:t>621</w:t>
            </w:r>
          </w:p>
        </w:tc>
      </w:tr>
    </w:tbl>
    <w:p w:rsidR="006E53A8" w:rsidRPr="008D4740" w:rsidRDefault="006E53A8" w:rsidP="006E53A8">
      <w:pPr>
        <w:ind w:right="-144"/>
        <w:jc w:val="both"/>
      </w:pPr>
    </w:p>
    <w:p w:rsidR="003005A6" w:rsidRPr="00DB54C6" w:rsidRDefault="003005A6" w:rsidP="003005A6">
      <w:pPr>
        <w:ind w:left="720" w:right="-144"/>
        <w:jc w:val="both"/>
      </w:pPr>
    </w:p>
    <w:p w:rsidR="008D1AAC" w:rsidRDefault="00AA01A2" w:rsidP="009A4986">
      <w:pPr>
        <w:ind w:right="-144"/>
        <w:jc w:val="both"/>
        <w:rPr>
          <w:b/>
        </w:rPr>
      </w:pPr>
      <w:r>
        <w:rPr>
          <w:b/>
        </w:rPr>
        <w:t>Ek 4</w:t>
      </w:r>
      <w:r w:rsidR="009A4986" w:rsidRPr="006E53A8">
        <w:rPr>
          <w:b/>
        </w:rPr>
        <w:t xml:space="preserve">: </w:t>
      </w:r>
      <w:r w:rsidR="000200F8" w:rsidRPr="000200F8">
        <w:rPr>
          <w:b/>
        </w:rPr>
        <w:t xml:space="preserve">54.07 </w:t>
      </w:r>
      <w:proofErr w:type="spellStart"/>
      <w:r w:rsidR="000200F8" w:rsidRPr="000200F8">
        <w:rPr>
          <w:b/>
        </w:rPr>
        <w:t>GTP</w:t>
      </w:r>
      <w:r>
        <w:rPr>
          <w:b/>
        </w:rPr>
        <w:t>’si</w:t>
      </w:r>
      <w:proofErr w:type="spellEnd"/>
      <w:r w:rsidR="000200F8" w:rsidRPr="000200F8">
        <w:rPr>
          <w:b/>
        </w:rPr>
        <w:t xml:space="preserve"> Kapsamı </w:t>
      </w:r>
      <w:r w:rsidR="00492B1C">
        <w:rPr>
          <w:b/>
        </w:rPr>
        <w:t xml:space="preserve">Malezya </w:t>
      </w:r>
      <w:r w:rsidR="000200F8" w:rsidRPr="000200F8">
        <w:rPr>
          <w:b/>
        </w:rPr>
        <w:t>İhracat İstatistikleri (</w:t>
      </w:r>
      <w:proofErr w:type="spellStart"/>
      <w:r w:rsidR="000200F8" w:rsidRPr="000200F8">
        <w:rPr>
          <w:b/>
        </w:rPr>
        <w:t>Trademap</w:t>
      </w:r>
      <w:proofErr w:type="spellEnd"/>
      <w:r w:rsidR="000200F8" w:rsidRPr="000200F8">
        <w:rPr>
          <w:b/>
        </w:rPr>
        <w:t>)</w:t>
      </w:r>
    </w:p>
    <w:p w:rsidR="008D1AAC" w:rsidRDefault="008D1AAC" w:rsidP="000E5F7A">
      <w:pPr>
        <w:ind w:left="720" w:right="-144" w:hanging="1713"/>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0"/>
        <w:gridCol w:w="854"/>
        <w:gridCol w:w="854"/>
        <w:gridCol w:w="854"/>
        <w:gridCol w:w="854"/>
        <w:gridCol w:w="854"/>
        <w:gridCol w:w="635"/>
        <w:gridCol w:w="635"/>
        <w:gridCol w:w="635"/>
        <w:gridCol w:w="635"/>
        <w:gridCol w:w="710"/>
      </w:tblGrid>
      <w:tr w:rsidR="00F74EF8" w:rsidRPr="008D4740" w:rsidTr="0022411D">
        <w:trPr>
          <w:trHeight w:val="540"/>
          <w:jc w:val="center"/>
        </w:trPr>
        <w:tc>
          <w:tcPr>
            <w:tcW w:w="879" w:type="pct"/>
            <w:shd w:val="clear" w:color="auto" w:fill="auto"/>
            <w:noWrap/>
            <w:vAlign w:val="bottom"/>
          </w:tcPr>
          <w:p w:rsidR="00F74EF8" w:rsidRPr="008D4740" w:rsidRDefault="00F74EF8" w:rsidP="00F74EF8">
            <w:pPr>
              <w:rPr>
                <w:color w:val="000000"/>
              </w:rPr>
            </w:pPr>
          </w:p>
        </w:tc>
        <w:tc>
          <w:tcPr>
            <w:tcW w:w="2500" w:type="pct"/>
            <w:gridSpan w:val="5"/>
            <w:shd w:val="clear" w:color="auto" w:fill="auto"/>
            <w:vAlign w:val="bottom"/>
          </w:tcPr>
          <w:p w:rsidR="00F74EF8" w:rsidRPr="008D4740" w:rsidRDefault="00F74EF8" w:rsidP="00F74EF8">
            <w:pPr>
              <w:jc w:val="center"/>
              <w:rPr>
                <w:b/>
                <w:bCs/>
                <w:color w:val="000000"/>
              </w:rPr>
            </w:pPr>
            <w:r>
              <w:rPr>
                <w:b/>
                <w:bCs/>
                <w:color w:val="000000"/>
                <w:sz w:val="18"/>
                <w:szCs w:val="18"/>
              </w:rPr>
              <w:t>İhracat</w:t>
            </w:r>
            <w:r w:rsidRPr="00001675">
              <w:rPr>
                <w:b/>
                <w:bCs/>
                <w:color w:val="000000"/>
                <w:sz w:val="18"/>
                <w:szCs w:val="18"/>
              </w:rPr>
              <w:t xml:space="preserve"> Değeri (Bin ABD Doları)</w:t>
            </w:r>
          </w:p>
        </w:tc>
        <w:tc>
          <w:tcPr>
            <w:tcW w:w="1621" w:type="pct"/>
            <w:gridSpan w:val="5"/>
            <w:vAlign w:val="bottom"/>
          </w:tcPr>
          <w:p w:rsidR="00F74EF8" w:rsidRPr="00001675" w:rsidRDefault="00F74EF8" w:rsidP="00F74EF8">
            <w:pPr>
              <w:jc w:val="center"/>
              <w:rPr>
                <w:b/>
                <w:bCs/>
                <w:color w:val="000000"/>
                <w:sz w:val="18"/>
                <w:szCs w:val="18"/>
              </w:rPr>
            </w:pPr>
            <w:r>
              <w:rPr>
                <w:b/>
                <w:bCs/>
                <w:color w:val="000000"/>
                <w:sz w:val="18"/>
                <w:szCs w:val="18"/>
              </w:rPr>
              <w:t>İhracat</w:t>
            </w:r>
            <w:r w:rsidRPr="00001675">
              <w:rPr>
                <w:b/>
                <w:bCs/>
                <w:color w:val="000000"/>
                <w:sz w:val="18"/>
                <w:szCs w:val="18"/>
              </w:rPr>
              <w:t xml:space="preserve"> Miktarı (Ton)</w:t>
            </w:r>
          </w:p>
        </w:tc>
      </w:tr>
      <w:tr w:rsidR="00F74EF8" w:rsidRPr="008D4740" w:rsidTr="0022411D">
        <w:trPr>
          <w:trHeight w:val="540"/>
          <w:jc w:val="center"/>
        </w:trPr>
        <w:tc>
          <w:tcPr>
            <w:tcW w:w="879" w:type="pct"/>
            <w:shd w:val="clear" w:color="auto" w:fill="auto"/>
            <w:noWrap/>
            <w:vAlign w:val="bottom"/>
            <w:hideMark/>
          </w:tcPr>
          <w:p w:rsidR="00F74EF8" w:rsidRPr="00F74EF8" w:rsidRDefault="00F74EF8" w:rsidP="00F74EF8">
            <w:pPr>
              <w:rPr>
                <w:color w:val="000000"/>
                <w:sz w:val="18"/>
                <w:szCs w:val="18"/>
              </w:rPr>
            </w:pPr>
            <w:r w:rsidRPr="00F74EF8">
              <w:rPr>
                <w:color w:val="000000"/>
                <w:sz w:val="18"/>
                <w:szCs w:val="18"/>
              </w:rPr>
              <w:t> </w:t>
            </w:r>
          </w:p>
        </w:tc>
        <w:tc>
          <w:tcPr>
            <w:tcW w:w="500" w:type="pct"/>
            <w:tcBorders>
              <w:bottom w:val="single" w:sz="4" w:space="0" w:color="auto"/>
            </w:tcBorders>
            <w:shd w:val="clear" w:color="auto" w:fill="auto"/>
            <w:vAlign w:val="bottom"/>
            <w:hideMark/>
          </w:tcPr>
          <w:p w:rsidR="00F74EF8" w:rsidRPr="00F74EF8" w:rsidRDefault="00F74EF8" w:rsidP="00F74EF8">
            <w:pPr>
              <w:jc w:val="center"/>
              <w:rPr>
                <w:b/>
                <w:bCs/>
                <w:color w:val="000000"/>
                <w:sz w:val="18"/>
                <w:szCs w:val="18"/>
              </w:rPr>
            </w:pPr>
            <w:r w:rsidRPr="00F74EF8">
              <w:rPr>
                <w:b/>
                <w:bCs/>
                <w:color w:val="000000"/>
                <w:sz w:val="18"/>
                <w:szCs w:val="18"/>
              </w:rPr>
              <w:t xml:space="preserve">2015                 </w:t>
            </w:r>
          </w:p>
        </w:tc>
        <w:tc>
          <w:tcPr>
            <w:tcW w:w="500" w:type="pct"/>
            <w:tcBorders>
              <w:bottom w:val="single" w:sz="4" w:space="0" w:color="auto"/>
            </w:tcBorders>
            <w:shd w:val="clear" w:color="auto" w:fill="auto"/>
            <w:vAlign w:val="bottom"/>
            <w:hideMark/>
          </w:tcPr>
          <w:p w:rsidR="00F74EF8" w:rsidRPr="00F74EF8" w:rsidRDefault="00F74EF8" w:rsidP="00F74EF8">
            <w:pPr>
              <w:jc w:val="center"/>
              <w:rPr>
                <w:b/>
                <w:bCs/>
                <w:color w:val="000000"/>
                <w:sz w:val="18"/>
                <w:szCs w:val="18"/>
              </w:rPr>
            </w:pPr>
            <w:r w:rsidRPr="00F74EF8">
              <w:rPr>
                <w:b/>
                <w:bCs/>
                <w:color w:val="000000"/>
                <w:sz w:val="18"/>
                <w:szCs w:val="18"/>
              </w:rPr>
              <w:t xml:space="preserve">2016                   </w:t>
            </w:r>
          </w:p>
        </w:tc>
        <w:tc>
          <w:tcPr>
            <w:tcW w:w="500" w:type="pct"/>
            <w:tcBorders>
              <w:bottom w:val="single" w:sz="4" w:space="0" w:color="auto"/>
            </w:tcBorders>
            <w:shd w:val="clear" w:color="auto" w:fill="auto"/>
            <w:vAlign w:val="bottom"/>
            <w:hideMark/>
          </w:tcPr>
          <w:p w:rsidR="00F74EF8" w:rsidRPr="00F74EF8" w:rsidRDefault="00F74EF8" w:rsidP="00F74EF8">
            <w:pPr>
              <w:jc w:val="center"/>
              <w:rPr>
                <w:b/>
                <w:bCs/>
                <w:color w:val="000000"/>
                <w:sz w:val="18"/>
                <w:szCs w:val="18"/>
              </w:rPr>
            </w:pPr>
            <w:r w:rsidRPr="00F74EF8">
              <w:rPr>
                <w:b/>
                <w:bCs/>
                <w:color w:val="000000"/>
                <w:sz w:val="18"/>
                <w:szCs w:val="18"/>
              </w:rPr>
              <w:t xml:space="preserve">2017                    </w:t>
            </w:r>
          </w:p>
        </w:tc>
        <w:tc>
          <w:tcPr>
            <w:tcW w:w="500" w:type="pct"/>
            <w:tcBorders>
              <w:bottom w:val="single" w:sz="4" w:space="0" w:color="auto"/>
            </w:tcBorders>
            <w:shd w:val="clear" w:color="auto" w:fill="auto"/>
            <w:vAlign w:val="bottom"/>
            <w:hideMark/>
          </w:tcPr>
          <w:p w:rsidR="00F74EF8" w:rsidRPr="00F74EF8" w:rsidRDefault="00F74EF8" w:rsidP="00F74EF8">
            <w:pPr>
              <w:jc w:val="center"/>
              <w:rPr>
                <w:b/>
                <w:bCs/>
                <w:color w:val="000000"/>
                <w:sz w:val="18"/>
                <w:szCs w:val="18"/>
              </w:rPr>
            </w:pPr>
            <w:r w:rsidRPr="00F74EF8">
              <w:rPr>
                <w:b/>
                <w:bCs/>
                <w:color w:val="000000"/>
                <w:sz w:val="18"/>
                <w:szCs w:val="18"/>
              </w:rPr>
              <w:t xml:space="preserve">2018                   </w:t>
            </w:r>
          </w:p>
        </w:tc>
        <w:tc>
          <w:tcPr>
            <w:tcW w:w="500" w:type="pct"/>
            <w:tcBorders>
              <w:bottom w:val="single" w:sz="4" w:space="0" w:color="auto"/>
            </w:tcBorders>
            <w:shd w:val="clear" w:color="auto" w:fill="auto"/>
            <w:vAlign w:val="bottom"/>
            <w:hideMark/>
          </w:tcPr>
          <w:p w:rsidR="00F74EF8" w:rsidRPr="00F74EF8" w:rsidRDefault="00F74EF8" w:rsidP="00F74EF8">
            <w:pPr>
              <w:jc w:val="center"/>
              <w:rPr>
                <w:b/>
                <w:bCs/>
                <w:color w:val="000000"/>
                <w:sz w:val="18"/>
                <w:szCs w:val="18"/>
              </w:rPr>
            </w:pPr>
            <w:r w:rsidRPr="00F74EF8">
              <w:rPr>
                <w:b/>
                <w:bCs/>
                <w:color w:val="000000"/>
                <w:sz w:val="18"/>
                <w:szCs w:val="18"/>
              </w:rPr>
              <w:t xml:space="preserve">2019(8)             </w:t>
            </w:r>
          </w:p>
        </w:tc>
        <w:tc>
          <w:tcPr>
            <w:tcW w:w="307" w:type="pct"/>
            <w:tcBorders>
              <w:bottom w:val="single" w:sz="4" w:space="0" w:color="auto"/>
            </w:tcBorders>
            <w:vAlign w:val="bottom"/>
          </w:tcPr>
          <w:p w:rsidR="00F74EF8" w:rsidRPr="00F74EF8" w:rsidRDefault="00F74EF8" w:rsidP="00F74EF8">
            <w:pPr>
              <w:jc w:val="center"/>
              <w:rPr>
                <w:b/>
                <w:bCs/>
                <w:color w:val="000000"/>
                <w:sz w:val="18"/>
                <w:szCs w:val="18"/>
              </w:rPr>
            </w:pPr>
            <w:r w:rsidRPr="00F74EF8">
              <w:rPr>
                <w:b/>
                <w:bCs/>
                <w:color w:val="000000"/>
                <w:sz w:val="18"/>
                <w:szCs w:val="18"/>
              </w:rPr>
              <w:t xml:space="preserve">2015                 </w:t>
            </w:r>
          </w:p>
        </w:tc>
        <w:tc>
          <w:tcPr>
            <w:tcW w:w="307" w:type="pct"/>
            <w:tcBorders>
              <w:bottom w:val="single" w:sz="4" w:space="0" w:color="auto"/>
            </w:tcBorders>
            <w:vAlign w:val="bottom"/>
          </w:tcPr>
          <w:p w:rsidR="00F74EF8" w:rsidRPr="00F74EF8" w:rsidRDefault="00F74EF8" w:rsidP="00F74EF8">
            <w:pPr>
              <w:jc w:val="center"/>
              <w:rPr>
                <w:b/>
                <w:bCs/>
                <w:color w:val="000000"/>
                <w:sz w:val="18"/>
                <w:szCs w:val="18"/>
              </w:rPr>
            </w:pPr>
            <w:r w:rsidRPr="00F74EF8">
              <w:rPr>
                <w:b/>
                <w:bCs/>
                <w:color w:val="000000"/>
                <w:sz w:val="18"/>
                <w:szCs w:val="18"/>
              </w:rPr>
              <w:t xml:space="preserve">2016                   </w:t>
            </w:r>
          </w:p>
        </w:tc>
        <w:tc>
          <w:tcPr>
            <w:tcW w:w="307" w:type="pct"/>
            <w:tcBorders>
              <w:bottom w:val="single" w:sz="4" w:space="0" w:color="auto"/>
            </w:tcBorders>
            <w:vAlign w:val="bottom"/>
          </w:tcPr>
          <w:p w:rsidR="00F74EF8" w:rsidRPr="00F74EF8" w:rsidRDefault="00F74EF8" w:rsidP="00F74EF8">
            <w:pPr>
              <w:jc w:val="center"/>
              <w:rPr>
                <w:b/>
                <w:bCs/>
                <w:color w:val="000000"/>
                <w:sz w:val="18"/>
                <w:szCs w:val="18"/>
              </w:rPr>
            </w:pPr>
            <w:r w:rsidRPr="00F74EF8">
              <w:rPr>
                <w:b/>
                <w:bCs/>
                <w:color w:val="000000"/>
                <w:sz w:val="18"/>
                <w:szCs w:val="18"/>
              </w:rPr>
              <w:t xml:space="preserve">2017                    </w:t>
            </w:r>
          </w:p>
        </w:tc>
        <w:tc>
          <w:tcPr>
            <w:tcW w:w="307" w:type="pct"/>
            <w:tcBorders>
              <w:bottom w:val="single" w:sz="4" w:space="0" w:color="auto"/>
            </w:tcBorders>
            <w:vAlign w:val="bottom"/>
          </w:tcPr>
          <w:p w:rsidR="00F74EF8" w:rsidRPr="00F74EF8" w:rsidRDefault="00F74EF8" w:rsidP="00F74EF8">
            <w:pPr>
              <w:jc w:val="center"/>
              <w:rPr>
                <w:b/>
                <w:bCs/>
                <w:color w:val="000000"/>
                <w:sz w:val="18"/>
                <w:szCs w:val="18"/>
              </w:rPr>
            </w:pPr>
            <w:r w:rsidRPr="00F74EF8">
              <w:rPr>
                <w:b/>
                <w:bCs/>
                <w:color w:val="000000"/>
                <w:sz w:val="18"/>
                <w:szCs w:val="18"/>
              </w:rPr>
              <w:t xml:space="preserve">2018                   </w:t>
            </w:r>
          </w:p>
        </w:tc>
        <w:tc>
          <w:tcPr>
            <w:tcW w:w="392" w:type="pct"/>
            <w:tcBorders>
              <w:bottom w:val="single" w:sz="4" w:space="0" w:color="auto"/>
            </w:tcBorders>
            <w:vAlign w:val="bottom"/>
          </w:tcPr>
          <w:p w:rsidR="00F74EF8" w:rsidRPr="00F74EF8" w:rsidRDefault="00F74EF8" w:rsidP="00F74EF8">
            <w:pPr>
              <w:jc w:val="center"/>
              <w:rPr>
                <w:b/>
                <w:bCs/>
                <w:color w:val="000000"/>
                <w:sz w:val="18"/>
                <w:szCs w:val="18"/>
              </w:rPr>
            </w:pPr>
            <w:r w:rsidRPr="00F74EF8">
              <w:rPr>
                <w:b/>
                <w:bCs/>
                <w:color w:val="000000"/>
                <w:sz w:val="18"/>
                <w:szCs w:val="18"/>
              </w:rPr>
              <w:t xml:space="preserve">2019(8)             </w:t>
            </w:r>
          </w:p>
        </w:tc>
      </w:tr>
      <w:tr w:rsidR="0022411D" w:rsidRPr="008D4740" w:rsidTr="0022411D">
        <w:trPr>
          <w:trHeight w:val="300"/>
          <w:jc w:val="center"/>
        </w:trPr>
        <w:tc>
          <w:tcPr>
            <w:tcW w:w="879" w:type="pct"/>
            <w:shd w:val="clear" w:color="auto" w:fill="auto"/>
            <w:noWrap/>
            <w:vAlign w:val="bottom"/>
            <w:hideMark/>
          </w:tcPr>
          <w:p w:rsidR="0022411D" w:rsidRPr="00F74EF8" w:rsidRDefault="0022411D" w:rsidP="0022411D">
            <w:pPr>
              <w:rPr>
                <w:color w:val="000000"/>
                <w:sz w:val="18"/>
                <w:szCs w:val="18"/>
              </w:rPr>
            </w:pPr>
            <w:r w:rsidRPr="00F74EF8">
              <w:rPr>
                <w:color w:val="000000"/>
                <w:sz w:val="18"/>
                <w:szCs w:val="18"/>
              </w:rPr>
              <w:t>TOPLAM</w:t>
            </w:r>
          </w:p>
        </w:tc>
        <w:tc>
          <w:tcPr>
            <w:tcW w:w="500" w:type="pct"/>
            <w:tcBorders>
              <w:top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134.348</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126.899</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146.298</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162.518</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106.793</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49.493</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50.572</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56.105</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54.955</w:t>
            </w:r>
          </w:p>
        </w:tc>
        <w:tc>
          <w:tcPr>
            <w:tcW w:w="392"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42.698</w:t>
            </w:r>
          </w:p>
        </w:tc>
      </w:tr>
      <w:tr w:rsidR="0022411D" w:rsidRPr="008D4740" w:rsidTr="0022411D">
        <w:trPr>
          <w:trHeight w:val="300"/>
          <w:jc w:val="center"/>
        </w:trPr>
        <w:tc>
          <w:tcPr>
            <w:tcW w:w="879" w:type="pct"/>
            <w:shd w:val="clear" w:color="auto" w:fill="auto"/>
            <w:noWrap/>
            <w:vAlign w:val="bottom"/>
            <w:hideMark/>
          </w:tcPr>
          <w:p w:rsidR="0022411D" w:rsidRPr="00F74EF8" w:rsidRDefault="0022411D" w:rsidP="0022411D">
            <w:pPr>
              <w:rPr>
                <w:color w:val="000000"/>
                <w:sz w:val="18"/>
                <w:szCs w:val="18"/>
              </w:rPr>
            </w:pPr>
            <w:r w:rsidRPr="00F74EF8">
              <w:rPr>
                <w:color w:val="000000"/>
                <w:sz w:val="18"/>
                <w:szCs w:val="18"/>
              </w:rPr>
              <w:t>TÜRKİYE</w:t>
            </w:r>
          </w:p>
        </w:tc>
        <w:tc>
          <w:tcPr>
            <w:tcW w:w="500" w:type="pct"/>
            <w:tcBorders>
              <w:top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50.558</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56.472</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70.159</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84.047</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54.824</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tcPr>
          <w:p w:rsidR="0022411D" w:rsidRPr="0022411D" w:rsidRDefault="0022411D" w:rsidP="0022411D">
            <w:pPr>
              <w:jc w:val="center"/>
              <w:rPr>
                <w:sz w:val="18"/>
                <w:szCs w:val="18"/>
              </w:rPr>
            </w:pPr>
            <w:r w:rsidRPr="0022411D">
              <w:rPr>
                <w:sz w:val="18"/>
                <w:szCs w:val="18"/>
              </w:rPr>
              <w:t>21.339</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tcPr>
          <w:p w:rsidR="0022411D" w:rsidRPr="0022411D" w:rsidRDefault="0022411D" w:rsidP="0022411D">
            <w:pPr>
              <w:jc w:val="center"/>
              <w:rPr>
                <w:sz w:val="18"/>
                <w:szCs w:val="18"/>
              </w:rPr>
            </w:pPr>
            <w:r w:rsidRPr="0022411D">
              <w:rPr>
                <w:sz w:val="18"/>
                <w:szCs w:val="18"/>
              </w:rPr>
              <w:t>23.180</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tcPr>
          <w:p w:rsidR="0022411D" w:rsidRPr="0022411D" w:rsidRDefault="0022411D" w:rsidP="0022411D">
            <w:pPr>
              <w:jc w:val="center"/>
              <w:rPr>
                <w:sz w:val="18"/>
                <w:szCs w:val="18"/>
              </w:rPr>
            </w:pPr>
            <w:r w:rsidRPr="0022411D">
              <w:rPr>
                <w:sz w:val="18"/>
                <w:szCs w:val="18"/>
              </w:rPr>
              <w:t>26.353</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tcPr>
          <w:p w:rsidR="0022411D" w:rsidRPr="0022411D" w:rsidRDefault="0022411D" w:rsidP="0022411D">
            <w:pPr>
              <w:jc w:val="center"/>
              <w:rPr>
                <w:sz w:val="18"/>
                <w:szCs w:val="18"/>
              </w:rPr>
            </w:pPr>
            <w:r w:rsidRPr="0022411D">
              <w:rPr>
                <w:sz w:val="18"/>
                <w:szCs w:val="18"/>
              </w:rPr>
              <w:t>25.191</w:t>
            </w:r>
          </w:p>
        </w:tc>
        <w:tc>
          <w:tcPr>
            <w:tcW w:w="392"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22.952</w:t>
            </w:r>
          </w:p>
        </w:tc>
      </w:tr>
      <w:tr w:rsidR="0022411D" w:rsidRPr="008D4740" w:rsidTr="0022411D">
        <w:trPr>
          <w:trHeight w:val="300"/>
          <w:jc w:val="center"/>
        </w:trPr>
        <w:tc>
          <w:tcPr>
            <w:tcW w:w="879" w:type="pct"/>
            <w:shd w:val="clear" w:color="auto" w:fill="auto"/>
            <w:noWrap/>
            <w:vAlign w:val="bottom"/>
            <w:hideMark/>
          </w:tcPr>
          <w:p w:rsidR="0022411D" w:rsidRPr="00F74EF8" w:rsidRDefault="0022411D" w:rsidP="0022411D">
            <w:pPr>
              <w:rPr>
                <w:color w:val="000000"/>
                <w:sz w:val="18"/>
                <w:szCs w:val="18"/>
              </w:rPr>
            </w:pPr>
            <w:r w:rsidRPr="00F74EF8">
              <w:rPr>
                <w:color w:val="000000"/>
                <w:sz w:val="18"/>
                <w:szCs w:val="18"/>
              </w:rPr>
              <w:t>FİLİPİNLER</w:t>
            </w:r>
          </w:p>
        </w:tc>
        <w:tc>
          <w:tcPr>
            <w:tcW w:w="500" w:type="pct"/>
            <w:tcBorders>
              <w:top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13.220</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9.582</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12.533</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15.873</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6.318</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tcPr>
          <w:p w:rsidR="0022411D" w:rsidRPr="0022411D" w:rsidRDefault="0022411D" w:rsidP="0022411D">
            <w:pPr>
              <w:jc w:val="center"/>
              <w:rPr>
                <w:sz w:val="18"/>
                <w:szCs w:val="18"/>
              </w:rPr>
            </w:pPr>
            <w:r w:rsidRPr="0022411D">
              <w:rPr>
                <w:sz w:val="18"/>
                <w:szCs w:val="18"/>
              </w:rPr>
              <w:t>6.199</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tcPr>
          <w:p w:rsidR="0022411D" w:rsidRPr="0022411D" w:rsidRDefault="0022411D" w:rsidP="0022411D">
            <w:pPr>
              <w:jc w:val="center"/>
              <w:rPr>
                <w:sz w:val="18"/>
                <w:szCs w:val="18"/>
              </w:rPr>
            </w:pPr>
            <w:r w:rsidRPr="0022411D">
              <w:rPr>
                <w:sz w:val="18"/>
                <w:szCs w:val="18"/>
              </w:rPr>
              <w:t>5.119</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tcPr>
          <w:p w:rsidR="0022411D" w:rsidRPr="0022411D" w:rsidRDefault="0022411D" w:rsidP="0022411D">
            <w:pPr>
              <w:jc w:val="center"/>
              <w:rPr>
                <w:sz w:val="18"/>
                <w:szCs w:val="18"/>
              </w:rPr>
            </w:pPr>
            <w:r w:rsidRPr="0022411D">
              <w:rPr>
                <w:sz w:val="18"/>
                <w:szCs w:val="18"/>
              </w:rPr>
              <w:t>5.996</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tcPr>
          <w:p w:rsidR="0022411D" w:rsidRPr="0022411D" w:rsidRDefault="0022411D" w:rsidP="0022411D">
            <w:pPr>
              <w:jc w:val="center"/>
              <w:rPr>
                <w:sz w:val="18"/>
                <w:szCs w:val="18"/>
              </w:rPr>
            </w:pPr>
            <w:r w:rsidRPr="0022411D">
              <w:rPr>
                <w:sz w:val="18"/>
                <w:szCs w:val="18"/>
              </w:rPr>
              <w:t>6.201</w:t>
            </w:r>
          </w:p>
        </w:tc>
        <w:tc>
          <w:tcPr>
            <w:tcW w:w="392"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2.618</w:t>
            </w:r>
          </w:p>
        </w:tc>
      </w:tr>
      <w:tr w:rsidR="0022411D" w:rsidRPr="008D4740" w:rsidTr="0022411D">
        <w:trPr>
          <w:trHeight w:val="300"/>
          <w:jc w:val="center"/>
        </w:trPr>
        <w:tc>
          <w:tcPr>
            <w:tcW w:w="879" w:type="pct"/>
            <w:shd w:val="clear" w:color="auto" w:fill="auto"/>
            <w:noWrap/>
            <w:vAlign w:val="bottom"/>
            <w:hideMark/>
          </w:tcPr>
          <w:p w:rsidR="0022411D" w:rsidRPr="00F74EF8" w:rsidRDefault="0022411D" w:rsidP="0022411D">
            <w:pPr>
              <w:rPr>
                <w:color w:val="000000"/>
                <w:sz w:val="18"/>
                <w:szCs w:val="18"/>
              </w:rPr>
            </w:pPr>
            <w:r w:rsidRPr="00F74EF8">
              <w:rPr>
                <w:color w:val="000000"/>
                <w:sz w:val="18"/>
                <w:szCs w:val="18"/>
              </w:rPr>
              <w:t>JAPONYA</w:t>
            </w:r>
          </w:p>
        </w:tc>
        <w:tc>
          <w:tcPr>
            <w:tcW w:w="500" w:type="pct"/>
            <w:tcBorders>
              <w:top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13.178</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13.403</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10.237</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10.976</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6.940</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tcPr>
          <w:p w:rsidR="0022411D" w:rsidRPr="0022411D" w:rsidRDefault="0022411D" w:rsidP="0022411D">
            <w:pPr>
              <w:jc w:val="center"/>
              <w:rPr>
                <w:sz w:val="18"/>
                <w:szCs w:val="18"/>
              </w:rPr>
            </w:pPr>
            <w:r w:rsidRPr="0022411D">
              <w:rPr>
                <w:sz w:val="18"/>
                <w:szCs w:val="18"/>
              </w:rPr>
              <w:t>3.214</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tcPr>
          <w:p w:rsidR="0022411D" w:rsidRPr="0022411D" w:rsidRDefault="0022411D" w:rsidP="0022411D">
            <w:pPr>
              <w:jc w:val="center"/>
              <w:rPr>
                <w:sz w:val="18"/>
                <w:szCs w:val="18"/>
              </w:rPr>
            </w:pPr>
            <w:r w:rsidRPr="0022411D">
              <w:rPr>
                <w:sz w:val="18"/>
                <w:szCs w:val="18"/>
              </w:rPr>
              <w:t>3.247</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tcPr>
          <w:p w:rsidR="0022411D" w:rsidRPr="0022411D" w:rsidRDefault="0022411D" w:rsidP="0022411D">
            <w:pPr>
              <w:jc w:val="center"/>
              <w:rPr>
                <w:sz w:val="18"/>
                <w:szCs w:val="18"/>
              </w:rPr>
            </w:pPr>
            <w:r w:rsidRPr="0022411D">
              <w:rPr>
                <w:sz w:val="18"/>
                <w:szCs w:val="18"/>
              </w:rPr>
              <w:t>2.573</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tcPr>
          <w:p w:rsidR="0022411D" w:rsidRPr="0022411D" w:rsidRDefault="0022411D" w:rsidP="0022411D">
            <w:pPr>
              <w:jc w:val="center"/>
              <w:rPr>
                <w:sz w:val="18"/>
                <w:szCs w:val="18"/>
              </w:rPr>
            </w:pPr>
            <w:r w:rsidRPr="0022411D">
              <w:rPr>
                <w:sz w:val="18"/>
                <w:szCs w:val="18"/>
              </w:rPr>
              <w:t>2.447</w:t>
            </w:r>
          </w:p>
        </w:tc>
        <w:tc>
          <w:tcPr>
            <w:tcW w:w="392"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1.490</w:t>
            </w:r>
          </w:p>
        </w:tc>
      </w:tr>
      <w:tr w:rsidR="0022411D" w:rsidRPr="008D4740" w:rsidTr="0022411D">
        <w:trPr>
          <w:trHeight w:val="300"/>
          <w:jc w:val="center"/>
        </w:trPr>
        <w:tc>
          <w:tcPr>
            <w:tcW w:w="879" w:type="pct"/>
            <w:shd w:val="clear" w:color="auto" w:fill="auto"/>
            <w:noWrap/>
            <w:vAlign w:val="bottom"/>
            <w:hideMark/>
          </w:tcPr>
          <w:p w:rsidR="0022411D" w:rsidRPr="00F74EF8" w:rsidRDefault="0022411D" w:rsidP="0022411D">
            <w:pPr>
              <w:rPr>
                <w:color w:val="000000"/>
                <w:sz w:val="18"/>
                <w:szCs w:val="18"/>
              </w:rPr>
            </w:pPr>
            <w:r w:rsidRPr="00F74EF8">
              <w:rPr>
                <w:color w:val="000000"/>
                <w:sz w:val="18"/>
                <w:szCs w:val="18"/>
              </w:rPr>
              <w:t>VİETNAM</w:t>
            </w:r>
          </w:p>
        </w:tc>
        <w:tc>
          <w:tcPr>
            <w:tcW w:w="500" w:type="pct"/>
            <w:tcBorders>
              <w:top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10.575</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5.821</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6.236</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10.085</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9.016</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4.238</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3.578</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4.021</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6.681</w:t>
            </w:r>
          </w:p>
        </w:tc>
        <w:tc>
          <w:tcPr>
            <w:tcW w:w="392"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5.871</w:t>
            </w:r>
          </w:p>
        </w:tc>
      </w:tr>
      <w:tr w:rsidR="0022411D" w:rsidRPr="008D4740" w:rsidTr="0022411D">
        <w:trPr>
          <w:trHeight w:val="300"/>
          <w:jc w:val="center"/>
        </w:trPr>
        <w:tc>
          <w:tcPr>
            <w:tcW w:w="879" w:type="pct"/>
            <w:shd w:val="clear" w:color="auto" w:fill="auto"/>
            <w:noWrap/>
            <w:vAlign w:val="bottom"/>
            <w:hideMark/>
          </w:tcPr>
          <w:p w:rsidR="0022411D" w:rsidRPr="00F74EF8" w:rsidRDefault="0022411D" w:rsidP="0022411D">
            <w:pPr>
              <w:rPr>
                <w:color w:val="000000"/>
                <w:sz w:val="18"/>
                <w:szCs w:val="18"/>
              </w:rPr>
            </w:pPr>
            <w:r w:rsidRPr="00F74EF8">
              <w:rPr>
                <w:color w:val="000000"/>
                <w:sz w:val="18"/>
                <w:szCs w:val="18"/>
              </w:rPr>
              <w:t>HİNDİSTAN</w:t>
            </w:r>
          </w:p>
        </w:tc>
        <w:tc>
          <w:tcPr>
            <w:tcW w:w="500" w:type="pct"/>
            <w:tcBorders>
              <w:top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7.257</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5.860</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9.196</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9.091</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7.929</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2.061</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2.779</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4.619</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4.021</w:t>
            </w:r>
          </w:p>
        </w:tc>
        <w:tc>
          <w:tcPr>
            <w:tcW w:w="392"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3.178</w:t>
            </w:r>
          </w:p>
        </w:tc>
      </w:tr>
      <w:tr w:rsidR="0022411D" w:rsidRPr="008D4740" w:rsidTr="0022411D">
        <w:trPr>
          <w:trHeight w:val="300"/>
          <w:jc w:val="center"/>
        </w:trPr>
        <w:tc>
          <w:tcPr>
            <w:tcW w:w="879" w:type="pct"/>
            <w:shd w:val="clear" w:color="auto" w:fill="auto"/>
            <w:noWrap/>
            <w:vAlign w:val="bottom"/>
            <w:hideMark/>
          </w:tcPr>
          <w:p w:rsidR="0022411D" w:rsidRPr="00F74EF8" w:rsidRDefault="0022411D" w:rsidP="0022411D">
            <w:pPr>
              <w:rPr>
                <w:color w:val="000000"/>
                <w:sz w:val="18"/>
                <w:szCs w:val="18"/>
              </w:rPr>
            </w:pPr>
            <w:r w:rsidRPr="00F74EF8">
              <w:rPr>
                <w:color w:val="000000"/>
                <w:sz w:val="18"/>
                <w:szCs w:val="18"/>
              </w:rPr>
              <w:t>TAYLAND</w:t>
            </w:r>
          </w:p>
        </w:tc>
        <w:tc>
          <w:tcPr>
            <w:tcW w:w="500" w:type="pct"/>
            <w:tcBorders>
              <w:top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3.918</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3.897</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3.760</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4.093</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3.674</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1.635</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1.700</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1.635</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1.729</w:t>
            </w:r>
          </w:p>
        </w:tc>
        <w:tc>
          <w:tcPr>
            <w:tcW w:w="392"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1.316</w:t>
            </w:r>
          </w:p>
        </w:tc>
      </w:tr>
      <w:tr w:rsidR="0022411D" w:rsidRPr="008D4740" w:rsidTr="0022411D">
        <w:trPr>
          <w:trHeight w:val="300"/>
          <w:jc w:val="center"/>
        </w:trPr>
        <w:tc>
          <w:tcPr>
            <w:tcW w:w="879" w:type="pct"/>
            <w:shd w:val="clear" w:color="auto" w:fill="auto"/>
            <w:noWrap/>
            <w:vAlign w:val="bottom"/>
            <w:hideMark/>
          </w:tcPr>
          <w:p w:rsidR="0022411D" w:rsidRPr="00F74EF8" w:rsidRDefault="0022411D" w:rsidP="0022411D">
            <w:pPr>
              <w:rPr>
                <w:color w:val="000000"/>
                <w:sz w:val="18"/>
                <w:szCs w:val="18"/>
              </w:rPr>
            </w:pPr>
            <w:r w:rsidRPr="00F74EF8">
              <w:rPr>
                <w:color w:val="000000"/>
                <w:sz w:val="18"/>
                <w:szCs w:val="18"/>
              </w:rPr>
              <w:t>ÇHC</w:t>
            </w:r>
          </w:p>
        </w:tc>
        <w:tc>
          <w:tcPr>
            <w:tcW w:w="500" w:type="pct"/>
            <w:tcBorders>
              <w:top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2.249</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1.649</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3.143</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2.947</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521</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806</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634</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1.488</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1.901</w:t>
            </w:r>
          </w:p>
        </w:tc>
        <w:tc>
          <w:tcPr>
            <w:tcW w:w="392"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352</w:t>
            </w:r>
          </w:p>
        </w:tc>
      </w:tr>
      <w:tr w:rsidR="0022411D" w:rsidRPr="008D4740" w:rsidTr="0022411D">
        <w:trPr>
          <w:trHeight w:val="300"/>
          <w:jc w:val="center"/>
        </w:trPr>
        <w:tc>
          <w:tcPr>
            <w:tcW w:w="879" w:type="pct"/>
            <w:shd w:val="clear" w:color="auto" w:fill="auto"/>
            <w:noWrap/>
            <w:vAlign w:val="bottom"/>
            <w:hideMark/>
          </w:tcPr>
          <w:p w:rsidR="0022411D" w:rsidRPr="00F74EF8" w:rsidRDefault="0022411D" w:rsidP="0022411D">
            <w:pPr>
              <w:rPr>
                <w:color w:val="000000"/>
                <w:sz w:val="18"/>
                <w:szCs w:val="18"/>
              </w:rPr>
            </w:pPr>
            <w:r w:rsidRPr="00F74EF8">
              <w:rPr>
                <w:color w:val="000000"/>
                <w:sz w:val="18"/>
                <w:szCs w:val="18"/>
              </w:rPr>
              <w:t>KOLOMBİYA</w:t>
            </w:r>
          </w:p>
        </w:tc>
        <w:tc>
          <w:tcPr>
            <w:tcW w:w="500" w:type="pct"/>
            <w:tcBorders>
              <w:top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1.983</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1.548</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1.768</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2.658</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1.410</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345</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297</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328</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466</w:t>
            </w:r>
          </w:p>
        </w:tc>
        <w:tc>
          <w:tcPr>
            <w:tcW w:w="392"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262</w:t>
            </w:r>
          </w:p>
        </w:tc>
      </w:tr>
      <w:tr w:rsidR="0022411D" w:rsidRPr="008D4740" w:rsidTr="0022411D">
        <w:trPr>
          <w:trHeight w:val="300"/>
          <w:jc w:val="center"/>
        </w:trPr>
        <w:tc>
          <w:tcPr>
            <w:tcW w:w="879" w:type="pct"/>
            <w:shd w:val="clear" w:color="auto" w:fill="auto"/>
            <w:noWrap/>
            <w:vAlign w:val="bottom"/>
            <w:hideMark/>
          </w:tcPr>
          <w:p w:rsidR="0022411D" w:rsidRPr="00F74EF8" w:rsidRDefault="0022411D" w:rsidP="0022411D">
            <w:pPr>
              <w:rPr>
                <w:color w:val="000000"/>
                <w:sz w:val="18"/>
                <w:szCs w:val="18"/>
              </w:rPr>
            </w:pPr>
            <w:r w:rsidRPr="00F74EF8">
              <w:rPr>
                <w:color w:val="000000"/>
                <w:sz w:val="18"/>
                <w:szCs w:val="18"/>
              </w:rPr>
              <w:t>ABD</w:t>
            </w:r>
          </w:p>
        </w:tc>
        <w:tc>
          <w:tcPr>
            <w:tcW w:w="500" w:type="pct"/>
            <w:tcBorders>
              <w:top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4.064</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3.550</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3.229</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2.435</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2.167</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1.517</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1.407</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1.221</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858</w:t>
            </w:r>
          </w:p>
        </w:tc>
        <w:tc>
          <w:tcPr>
            <w:tcW w:w="392"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646</w:t>
            </w:r>
          </w:p>
        </w:tc>
      </w:tr>
      <w:tr w:rsidR="0022411D" w:rsidRPr="008D4740" w:rsidTr="0022411D">
        <w:trPr>
          <w:trHeight w:val="300"/>
          <w:jc w:val="center"/>
        </w:trPr>
        <w:tc>
          <w:tcPr>
            <w:tcW w:w="879" w:type="pct"/>
            <w:shd w:val="clear" w:color="auto" w:fill="auto"/>
            <w:noWrap/>
            <w:vAlign w:val="bottom"/>
            <w:hideMark/>
          </w:tcPr>
          <w:p w:rsidR="0022411D" w:rsidRPr="00F74EF8" w:rsidRDefault="0022411D" w:rsidP="0022411D">
            <w:pPr>
              <w:rPr>
                <w:color w:val="000000"/>
                <w:sz w:val="18"/>
                <w:szCs w:val="18"/>
              </w:rPr>
            </w:pPr>
            <w:r w:rsidRPr="00F74EF8">
              <w:rPr>
                <w:color w:val="000000"/>
                <w:sz w:val="18"/>
                <w:szCs w:val="18"/>
              </w:rPr>
              <w:t>SİNGAPUR</w:t>
            </w:r>
          </w:p>
        </w:tc>
        <w:tc>
          <w:tcPr>
            <w:tcW w:w="500" w:type="pct"/>
            <w:tcBorders>
              <w:top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683</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896</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2.512</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2.263</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1.615</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129</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173</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465</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258</w:t>
            </w:r>
          </w:p>
        </w:tc>
        <w:tc>
          <w:tcPr>
            <w:tcW w:w="392"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141</w:t>
            </w:r>
          </w:p>
        </w:tc>
      </w:tr>
      <w:tr w:rsidR="0022411D" w:rsidRPr="008D4740" w:rsidTr="0022411D">
        <w:trPr>
          <w:trHeight w:val="300"/>
          <w:jc w:val="center"/>
        </w:trPr>
        <w:tc>
          <w:tcPr>
            <w:tcW w:w="879" w:type="pct"/>
            <w:shd w:val="clear" w:color="auto" w:fill="auto"/>
            <w:noWrap/>
            <w:vAlign w:val="bottom"/>
            <w:hideMark/>
          </w:tcPr>
          <w:p w:rsidR="0022411D" w:rsidRPr="00F74EF8" w:rsidRDefault="0022411D" w:rsidP="0022411D">
            <w:pPr>
              <w:rPr>
                <w:color w:val="000000"/>
                <w:sz w:val="18"/>
                <w:szCs w:val="18"/>
              </w:rPr>
            </w:pPr>
            <w:r w:rsidRPr="00F74EF8">
              <w:rPr>
                <w:color w:val="000000"/>
                <w:sz w:val="18"/>
                <w:szCs w:val="18"/>
              </w:rPr>
              <w:t>BELÇİKA</w:t>
            </w:r>
          </w:p>
        </w:tc>
        <w:tc>
          <w:tcPr>
            <w:tcW w:w="500" w:type="pct"/>
            <w:tcBorders>
              <w:top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3.477</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2.839</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2.982</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1.967</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1D" w:rsidRPr="00F74EF8" w:rsidRDefault="0022411D" w:rsidP="0022411D">
            <w:pPr>
              <w:jc w:val="center"/>
              <w:rPr>
                <w:sz w:val="18"/>
                <w:szCs w:val="18"/>
              </w:rPr>
            </w:pPr>
            <w:r w:rsidRPr="00F74EF8">
              <w:rPr>
                <w:sz w:val="18"/>
                <w:szCs w:val="18"/>
              </w:rPr>
              <w:t>1.630</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910</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870</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793</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541</w:t>
            </w:r>
          </w:p>
        </w:tc>
        <w:tc>
          <w:tcPr>
            <w:tcW w:w="392"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366</w:t>
            </w:r>
          </w:p>
        </w:tc>
      </w:tr>
      <w:tr w:rsidR="0022411D" w:rsidRPr="008D4740" w:rsidTr="0022411D">
        <w:trPr>
          <w:trHeight w:val="300"/>
          <w:jc w:val="center"/>
        </w:trPr>
        <w:tc>
          <w:tcPr>
            <w:tcW w:w="879" w:type="pct"/>
            <w:shd w:val="clear" w:color="auto" w:fill="auto"/>
            <w:noWrap/>
            <w:vAlign w:val="bottom"/>
          </w:tcPr>
          <w:p w:rsidR="0022411D" w:rsidRPr="00F74EF8" w:rsidRDefault="0022411D" w:rsidP="0022411D">
            <w:pPr>
              <w:rPr>
                <w:color w:val="000000"/>
                <w:sz w:val="18"/>
                <w:szCs w:val="18"/>
              </w:rPr>
            </w:pPr>
            <w:r w:rsidRPr="00F74EF8">
              <w:rPr>
                <w:color w:val="000000"/>
                <w:sz w:val="18"/>
                <w:szCs w:val="18"/>
              </w:rPr>
              <w:t>DİĞER</w:t>
            </w:r>
          </w:p>
        </w:tc>
        <w:tc>
          <w:tcPr>
            <w:tcW w:w="500" w:type="pct"/>
            <w:tcBorders>
              <w:top w:val="single" w:sz="4" w:space="0" w:color="auto"/>
              <w:bottom w:val="single" w:sz="4" w:space="0" w:color="auto"/>
              <w:right w:val="single" w:sz="4" w:space="0" w:color="auto"/>
            </w:tcBorders>
            <w:shd w:val="clear" w:color="auto" w:fill="auto"/>
            <w:noWrap/>
            <w:vAlign w:val="center"/>
          </w:tcPr>
          <w:p w:rsidR="0022411D" w:rsidRPr="00F74EF8" w:rsidRDefault="0022411D" w:rsidP="0022411D">
            <w:pPr>
              <w:jc w:val="center"/>
              <w:rPr>
                <w:sz w:val="18"/>
                <w:szCs w:val="18"/>
              </w:rPr>
            </w:pPr>
            <w:r w:rsidRPr="00F74EF8">
              <w:rPr>
                <w:sz w:val="18"/>
                <w:szCs w:val="18"/>
              </w:rPr>
              <w:t>23.186</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411D" w:rsidRPr="00F74EF8" w:rsidRDefault="0022411D" w:rsidP="0022411D">
            <w:pPr>
              <w:jc w:val="center"/>
              <w:rPr>
                <w:sz w:val="18"/>
                <w:szCs w:val="18"/>
              </w:rPr>
            </w:pPr>
            <w:r w:rsidRPr="00F74EF8">
              <w:rPr>
                <w:sz w:val="18"/>
                <w:szCs w:val="18"/>
              </w:rPr>
              <w:t>21.382</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411D" w:rsidRPr="00F74EF8" w:rsidRDefault="0022411D" w:rsidP="0022411D">
            <w:pPr>
              <w:jc w:val="center"/>
              <w:rPr>
                <w:sz w:val="18"/>
                <w:szCs w:val="18"/>
              </w:rPr>
            </w:pPr>
            <w:r w:rsidRPr="00F74EF8">
              <w:rPr>
                <w:sz w:val="18"/>
                <w:szCs w:val="18"/>
              </w:rPr>
              <w:t>20.543</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411D" w:rsidRPr="00F74EF8" w:rsidRDefault="0022411D" w:rsidP="0022411D">
            <w:pPr>
              <w:jc w:val="center"/>
              <w:rPr>
                <w:sz w:val="18"/>
                <w:szCs w:val="18"/>
              </w:rPr>
            </w:pPr>
            <w:r w:rsidRPr="00F74EF8">
              <w:rPr>
                <w:sz w:val="18"/>
                <w:szCs w:val="18"/>
              </w:rPr>
              <w:t>16.083</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411D" w:rsidRPr="00F74EF8" w:rsidRDefault="0022411D" w:rsidP="0022411D">
            <w:pPr>
              <w:jc w:val="center"/>
              <w:rPr>
                <w:sz w:val="18"/>
                <w:szCs w:val="18"/>
              </w:rPr>
            </w:pPr>
            <w:r w:rsidRPr="00F74EF8">
              <w:rPr>
                <w:sz w:val="18"/>
                <w:szCs w:val="18"/>
              </w:rPr>
              <w:t>10.749</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7.100</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7.588</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6.613</w:t>
            </w:r>
          </w:p>
        </w:tc>
        <w:tc>
          <w:tcPr>
            <w:tcW w:w="307"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4.661</w:t>
            </w:r>
          </w:p>
        </w:tc>
        <w:tc>
          <w:tcPr>
            <w:tcW w:w="392" w:type="pct"/>
            <w:tcBorders>
              <w:top w:val="single" w:sz="4" w:space="0" w:color="auto"/>
              <w:left w:val="single" w:sz="4" w:space="0" w:color="auto"/>
              <w:bottom w:val="single" w:sz="4" w:space="0" w:color="auto"/>
              <w:right w:val="single" w:sz="4" w:space="0" w:color="auto"/>
            </w:tcBorders>
            <w:shd w:val="clear" w:color="000000" w:fill="F7F6F3"/>
            <w:vAlign w:val="center"/>
          </w:tcPr>
          <w:p w:rsidR="0022411D" w:rsidRPr="0022411D" w:rsidRDefault="0022411D" w:rsidP="0022411D">
            <w:pPr>
              <w:jc w:val="center"/>
              <w:rPr>
                <w:sz w:val="18"/>
                <w:szCs w:val="18"/>
              </w:rPr>
            </w:pPr>
            <w:r w:rsidRPr="0022411D">
              <w:rPr>
                <w:sz w:val="18"/>
                <w:szCs w:val="18"/>
              </w:rPr>
              <w:t>3.506</w:t>
            </w:r>
          </w:p>
        </w:tc>
      </w:tr>
    </w:tbl>
    <w:p w:rsidR="00D840FE" w:rsidRDefault="00D840FE" w:rsidP="00AC4E38">
      <w:pPr>
        <w:ind w:right="-144"/>
        <w:jc w:val="both"/>
        <w:rPr>
          <w:b/>
        </w:rPr>
      </w:pPr>
    </w:p>
    <w:p w:rsidR="00097B2C" w:rsidRPr="002D72E0" w:rsidRDefault="00097B2C" w:rsidP="00DB54C6">
      <w:pPr>
        <w:ind w:right="-144"/>
        <w:jc w:val="both"/>
        <w:rPr>
          <w:b/>
        </w:rPr>
      </w:pPr>
    </w:p>
    <w:sectPr w:rsidR="00097B2C" w:rsidRPr="002D72E0" w:rsidSect="00E55AA0">
      <w:headerReference w:type="default" r:id="rId14"/>
      <w:footerReference w:type="default" r:id="rId15"/>
      <w:pgSz w:w="11906" w:h="16838" w:code="9"/>
      <w:pgMar w:top="1418" w:right="1418"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596" w:rsidRDefault="00351596">
      <w:r>
        <w:separator/>
      </w:r>
    </w:p>
  </w:endnote>
  <w:endnote w:type="continuationSeparator" w:id="0">
    <w:p w:rsidR="00351596" w:rsidRDefault="0035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 w:name="Times">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96" w:rsidRDefault="00351596">
    <w:pPr>
      <w:pStyle w:val="Altbilgi"/>
      <w:jc w:val="center"/>
    </w:pPr>
  </w:p>
  <w:p w:rsidR="00351596" w:rsidRDefault="00351596" w:rsidP="0033752C">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96" w:rsidRDefault="00351596">
    <w:pPr>
      <w:pStyle w:val="Altbilgi"/>
      <w:jc w:val="center"/>
    </w:pPr>
    <w:r>
      <w:fldChar w:fldCharType="begin"/>
    </w:r>
    <w:r>
      <w:instrText>PAGE   \* MERGEFORMAT</w:instrText>
    </w:r>
    <w:r>
      <w:fldChar w:fldCharType="separate"/>
    </w:r>
    <w:r w:rsidR="00530064">
      <w:rPr>
        <w:noProof/>
      </w:rPr>
      <w:t>1</w:t>
    </w:r>
    <w:r>
      <w:fldChar w:fldCharType="end"/>
    </w:r>
  </w:p>
  <w:p w:rsidR="00351596" w:rsidRDefault="00351596" w:rsidP="0033752C">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96" w:rsidRDefault="00351596">
    <w:pPr>
      <w:pStyle w:val="Altbilgi"/>
      <w:jc w:val="center"/>
    </w:pPr>
    <w:r>
      <w:fldChar w:fldCharType="begin"/>
    </w:r>
    <w:r>
      <w:instrText>PAGE   \* MERGEFORMAT</w:instrText>
    </w:r>
    <w:r>
      <w:fldChar w:fldCharType="separate"/>
    </w:r>
    <w:r w:rsidR="008B4AA1">
      <w:rPr>
        <w:noProof/>
      </w:rPr>
      <w:t>7</w:t>
    </w:r>
    <w:r>
      <w:fldChar w:fldCharType="end"/>
    </w:r>
  </w:p>
  <w:p w:rsidR="00351596" w:rsidRDefault="003515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596" w:rsidRDefault="00351596">
      <w:r>
        <w:separator/>
      </w:r>
    </w:p>
  </w:footnote>
  <w:footnote w:type="continuationSeparator" w:id="0">
    <w:p w:rsidR="00351596" w:rsidRDefault="00351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96" w:rsidRPr="005C3C9F" w:rsidRDefault="00351596" w:rsidP="005C3C9F">
    <w:pPr>
      <w:pStyle w:val="stbilgi"/>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96" w:rsidRPr="00877579" w:rsidRDefault="00351596" w:rsidP="00877579">
    <w:pPr>
      <w:pStyle w:val="stbilgi"/>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96" w:rsidRPr="00877579" w:rsidRDefault="00351596" w:rsidP="00877579">
    <w:pPr>
      <w:pStyle w:val="stbilgi"/>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1B55"/>
    <w:multiLevelType w:val="hybridMultilevel"/>
    <w:tmpl w:val="85C8CCAC"/>
    <w:lvl w:ilvl="0" w:tplc="5D6C626E">
      <w:start w:val="2"/>
      <w:numFmt w:val="bullet"/>
      <w:lvlText w:val="-"/>
      <w:lvlJc w:val="left"/>
      <w:pPr>
        <w:ind w:left="1065" w:hanging="360"/>
      </w:pPr>
      <w:rPr>
        <w:rFonts w:ascii="Times New Roman" w:eastAsia="Times New Roman" w:hAnsi="Times New Roman" w:cs="Times New Roman" w:hint="default"/>
        <w:b w:val="0"/>
        <w:color w:val="000000"/>
        <w:sz w:val="18"/>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19394F5E"/>
    <w:multiLevelType w:val="hybridMultilevel"/>
    <w:tmpl w:val="B7F00D52"/>
    <w:lvl w:ilvl="0" w:tplc="21A28A36">
      <w:start w:val="3"/>
      <w:numFmt w:val="bullet"/>
      <w:lvlText w:val="-"/>
      <w:lvlJc w:val="left"/>
      <w:pPr>
        <w:ind w:left="1065" w:hanging="360"/>
      </w:pPr>
      <w:rPr>
        <w:rFonts w:ascii="Times New Roman" w:eastAsia="Times New Roman" w:hAnsi="Times New Roman" w:cs="Times New Roman" w:hint="default"/>
        <w:b/>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 w15:restartNumberingAfterBreak="0">
    <w:nsid w:val="1AE61D7B"/>
    <w:multiLevelType w:val="hybridMultilevel"/>
    <w:tmpl w:val="FAC27D1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E8410C"/>
    <w:multiLevelType w:val="hybridMultilevel"/>
    <w:tmpl w:val="D5801246"/>
    <w:lvl w:ilvl="0" w:tplc="D10E81D4">
      <w:start w:val="1"/>
      <w:numFmt w:val="lowerLetter"/>
      <w:lvlText w:val="%1)"/>
      <w:lvlJc w:val="left"/>
      <w:pPr>
        <w:ind w:left="1070"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1F57758C"/>
    <w:multiLevelType w:val="hybridMultilevel"/>
    <w:tmpl w:val="56927846"/>
    <w:lvl w:ilvl="0" w:tplc="7A5458E8">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5" w15:restartNumberingAfterBreak="0">
    <w:nsid w:val="227C331C"/>
    <w:multiLevelType w:val="hybridMultilevel"/>
    <w:tmpl w:val="A0BE2850"/>
    <w:lvl w:ilvl="0" w:tplc="D10E81D4">
      <w:start w:val="1"/>
      <w:numFmt w:val="lowerLetter"/>
      <w:lvlText w:val="%1)"/>
      <w:lvlJc w:val="left"/>
      <w:pPr>
        <w:ind w:left="1070"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24131CAE"/>
    <w:multiLevelType w:val="hybridMultilevel"/>
    <w:tmpl w:val="67B04C98"/>
    <w:lvl w:ilvl="0" w:tplc="B0844E5A">
      <w:start w:val="2"/>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7" w15:restartNumberingAfterBreak="0">
    <w:nsid w:val="2E925B24"/>
    <w:multiLevelType w:val="hybridMultilevel"/>
    <w:tmpl w:val="CE06790C"/>
    <w:lvl w:ilvl="0" w:tplc="1730F0F6">
      <w:numFmt w:val="bullet"/>
      <w:lvlText w:val="-"/>
      <w:lvlJc w:val="left"/>
      <w:pPr>
        <w:ind w:left="1065" w:hanging="360"/>
      </w:pPr>
      <w:rPr>
        <w:rFonts w:ascii="Times New Roman" w:eastAsia="Times New Roman" w:hAnsi="Times New Roman" w:cs="Times New Roman" w:hint="default"/>
        <w:b/>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8" w15:restartNumberingAfterBreak="0">
    <w:nsid w:val="3CE55736"/>
    <w:multiLevelType w:val="hybridMultilevel"/>
    <w:tmpl w:val="EB244A42"/>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FA5AD7"/>
    <w:multiLevelType w:val="hybridMultilevel"/>
    <w:tmpl w:val="6A5A915A"/>
    <w:lvl w:ilvl="0" w:tplc="A392C418">
      <w:start w:val="1"/>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10" w15:restartNumberingAfterBreak="0">
    <w:nsid w:val="4A5C7075"/>
    <w:multiLevelType w:val="hybridMultilevel"/>
    <w:tmpl w:val="AB4AB384"/>
    <w:lvl w:ilvl="0" w:tplc="7C5C39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4EC17CE7"/>
    <w:multiLevelType w:val="hybridMultilevel"/>
    <w:tmpl w:val="D586F410"/>
    <w:lvl w:ilvl="0" w:tplc="99A84C76">
      <w:start w:val="2"/>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2" w15:restartNumberingAfterBreak="0">
    <w:nsid w:val="4F1D4954"/>
    <w:multiLevelType w:val="hybridMultilevel"/>
    <w:tmpl w:val="1688D904"/>
    <w:lvl w:ilvl="0" w:tplc="23BC6F38">
      <w:start w:val="2"/>
      <w:numFmt w:val="bullet"/>
      <w:lvlText w:val="-"/>
      <w:lvlJc w:val="left"/>
      <w:pPr>
        <w:ind w:left="1065" w:hanging="360"/>
      </w:pPr>
      <w:rPr>
        <w:rFonts w:ascii="Times New Roman" w:eastAsia="Times New Roman" w:hAnsi="Times New Roman" w:cs="Times New Roman" w:hint="default"/>
        <w:b w:val="0"/>
        <w:color w:val="000000"/>
        <w:sz w:val="18"/>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3" w15:restartNumberingAfterBreak="0">
    <w:nsid w:val="583B0CD7"/>
    <w:multiLevelType w:val="hybridMultilevel"/>
    <w:tmpl w:val="878C73F6"/>
    <w:lvl w:ilvl="0" w:tplc="D0666B66">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9FA26B6"/>
    <w:multiLevelType w:val="hybridMultilevel"/>
    <w:tmpl w:val="B77496AE"/>
    <w:lvl w:ilvl="0" w:tplc="79C877A0">
      <w:start w:val="1"/>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E744D85"/>
    <w:multiLevelType w:val="hybridMultilevel"/>
    <w:tmpl w:val="ABD6BE92"/>
    <w:lvl w:ilvl="0" w:tplc="D29C508E">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F112C86"/>
    <w:multiLevelType w:val="hybridMultilevel"/>
    <w:tmpl w:val="1CB81F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FFA1E7E"/>
    <w:multiLevelType w:val="hybridMultilevel"/>
    <w:tmpl w:val="517094DC"/>
    <w:lvl w:ilvl="0" w:tplc="A268E55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718A091E"/>
    <w:multiLevelType w:val="hybridMultilevel"/>
    <w:tmpl w:val="CD9C8636"/>
    <w:lvl w:ilvl="0" w:tplc="BC769976">
      <w:start w:val="2"/>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9" w15:restartNumberingAfterBreak="0">
    <w:nsid w:val="775C499D"/>
    <w:multiLevelType w:val="hybridMultilevel"/>
    <w:tmpl w:val="4C36335C"/>
    <w:lvl w:ilvl="0" w:tplc="5E462982">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0" w15:restartNumberingAfterBreak="0">
    <w:nsid w:val="7B6D5A12"/>
    <w:multiLevelType w:val="hybridMultilevel"/>
    <w:tmpl w:val="95FC4C00"/>
    <w:lvl w:ilvl="0" w:tplc="D9029D0E">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7CB869EB"/>
    <w:multiLevelType w:val="hybridMultilevel"/>
    <w:tmpl w:val="29E83228"/>
    <w:lvl w:ilvl="0" w:tplc="0F06BDF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7EF26DE4"/>
    <w:multiLevelType w:val="hybridMultilevel"/>
    <w:tmpl w:val="2C4851CE"/>
    <w:lvl w:ilvl="0" w:tplc="F4DC2072">
      <w:numFmt w:val="bullet"/>
      <w:lvlText w:val="-"/>
      <w:lvlJc w:val="left"/>
      <w:pPr>
        <w:ind w:left="1065" w:hanging="360"/>
      </w:pPr>
      <w:rPr>
        <w:rFonts w:ascii="Times New Roman" w:eastAsia="Times New Roman" w:hAnsi="Times New Roman" w:cs="Times New Roman" w:hint="default"/>
        <w:b/>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15"/>
  </w:num>
  <w:num w:numId="2">
    <w:abstractNumId w:val="3"/>
  </w:num>
  <w:num w:numId="3">
    <w:abstractNumId w:val="19"/>
  </w:num>
  <w:num w:numId="4">
    <w:abstractNumId w:val="10"/>
  </w:num>
  <w:num w:numId="5">
    <w:abstractNumId w:val="2"/>
  </w:num>
  <w:num w:numId="6">
    <w:abstractNumId w:val="16"/>
  </w:num>
  <w:num w:numId="7">
    <w:abstractNumId w:val="8"/>
  </w:num>
  <w:num w:numId="8">
    <w:abstractNumId w:val="14"/>
  </w:num>
  <w:num w:numId="9">
    <w:abstractNumId w:val="20"/>
  </w:num>
  <w:num w:numId="10">
    <w:abstractNumId w:val="21"/>
  </w:num>
  <w:num w:numId="11">
    <w:abstractNumId w:val="9"/>
  </w:num>
  <w:num w:numId="12">
    <w:abstractNumId w:val="5"/>
  </w:num>
  <w:num w:numId="13">
    <w:abstractNumId w:val="17"/>
  </w:num>
  <w:num w:numId="14">
    <w:abstractNumId w:val="0"/>
  </w:num>
  <w:num w:numId="15">
    <w:abstractNumId w:val="12"/>
  </w:num>
  <w:num w:numId="16">
    <w:abstractNumId w:val="11"/>
  </w:num>
  <w:num w:numId="17">
    <w:abstractNumId w:val="18"/>
  </w:num>
  <w:num w:numId="18">
    <w:abstractNumId w:val="6"/>
  </w:num>
  <w:num w:numId="19">
    <w:abstractNumId w:val="4"/>
  </w:num>
  <w:num w:numId="20">
    <w:abstractNumId w:val="22"/>
  </w:num>
  <w:num w:numId="21">
    <w:abstractNumId w:val="7"/>
  </w:num>
  <w:num w:numId="22">
    <w:abstractNumId w:val="1"/>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EB"/>
    <w:rsid w:val="00001675"/>
    <w:rsid w:val="000017FC"/>
    <w:rsid w:val="00001DED"/>
    <w:rsid w:val="00002695"/>
    <w:rsid w:val="000029BF"/>
    <w:rsid w:val="00003489"/>
    <w:rsid w:val="00003551"/>
    <w:rsid w:val="00004C27"/>
    <w:rsid w:val="00005473"/>
    <w:rsid w:val="00005F6B"/>
    <w:rsid w:val="0000628D"/>
    <w:rsid w:val="00006665"/>
    <w:rsid w:val="000106B8"/>
    <w:rsid w:val="0001172C"/>
    <w:rsid w:val="00013CDE"/>
    <w:rsid w:val="000144FE"/>
    <w:rsid w:val="00015627"/>
    <w:rsid w:val="000158CE"/>
    <w:rsid w:val="00016D9C"/>
    <w:rsid w:val="0001758F"/>
    <w:rsid w:val="000177D5"/>
    <w:rsid w:val="00017CC3"/>
    <w:rsid w:val="000200F8"/>
    <w:rsid w:val="00020114"/>
    <w:rsid w:val="000250D3"/>
    <w:rsid w:val="00025768"/>
    <w:rsid w:val="000261F9"/>
    <w:rsid w:val="0002647F"/>
    <w:rsid w:val="0002721C"/>
    <w:rsid w:val="000278F7"/>
    <w:rsid w:val="00030E52"/>
    <w:rsid w:val="00031763"/>
    <w:rsid w:val="00031E5E"/>
    <w:rsid w:val="0003297D"/>
    <w:rsid w:val="00033BF6"/>
    <w:rsid w:val="00035547"/>
    <w:rsid w:val="00035EEE"/>
    <w:rsid w:val="000362A9"/>
    <w:rsid w:val="00036E33"/>
    <w:rsid w:val="00041203"/>
    <w:rsid w:val="00041593"/>
    <w:rsid w:val="00041B9B"/>
    <w:rsid w:val="000430D5"/>
    <w:rsid w:val="00043808"/>
    <w:rsid w:val="00043DA6"/>
    <w:rsid w:val="000444A9"/>
    <w:rsid w:val="00045373"/>
    <w:rsid w:val="00046482"/>
    <w:rsid w:val="00047ABD"/>
    <w:rsid w:val="0005006D"/>
    <w:rsid w:val="00050B63"/>
    <w:rsid w:val="0005105C"/>
    <w:rsid w:val="0005253F"/>
    <w:rsid w:val="00054B5D"/>
    <w:rsid w:val="00054BA1"/>
    <w:rsid w:val="000554B4"/>
    <w:rsid w:val="000558A5"/>
    <w:rsid w:val="00055DDB"/>
    <w:rsid w:val="00056182"/>
    <w:rsid w:val="0005637F"/>
    <w:rsid w:val="000569F0"/>
    <w:rsid w:val="00060603"/>
    <w:rsid w:val="00061B57"/>
    <w:rsid w:val="00063AF1"/>
    <w:rsid w:val="00063DD6"/>
    <w:rsid w:val="000640F4"/>
    <w:rsid w:val="000646CE"/>
    <w:rsid w:val="00064913"/>
    <w:rsid w:val="00065917"/>
    <w:rsid w:val="00065AC4"/>
    <w:rsid w:val="0006661B"/>
    <w:rsid w:val="00067156"/>
    <w:rsid w:val="000707CC"/>
    <w:rsid w:val="000708EB"/>
    <w:rsid w:val="00071793"/>
    <w:rsid w:val="000717EB"/>
    <w:rsid w:val="00074D9C"/>
    <w:rsid w:val="0007517A"/>
    <w:rsid w:val="00075A53"/>
    <w:rsid w:val="00076378"/>
    <w:rsid w:val="00080A24"/>
    <w:rsid w:val="00080A2C"/>
    <w:rsid w:val="00080CE4"/>
    <w:rsid w:val="0008109B"/>
    <w:rsid w:val="000815FB"/>
    <w:rsid w:val="00081C31"/>
    <w:rsid w:val="000833E6"/>
    <w:rsid w:val="00085B08"/>
    <w:rsid w:val="000871CF"/>
    <w:rsid w:val="000911AF"/>
    <w:rsid w:val="00091BE3"/>
    <w:rsid w:val="00092097"/>
    <w:rsid w:val="000922CF"/>
    <w:rsid w:val="00092726"/>
    <w:rsid w:val="000931D6"/>
    <w:rsid w:val="0009426F"/>
    <w:rsid w:val="00095D01"/>
    <w:rsid w:val="0009729B"/>
    <w:rsid w:val="00097ADB"/>
    <w:rsid w:val="00097B2C"/>
    <w:rsid w:val="00097C3D"/>
    <w:rsid w:val="000A020E"/>
    <w:rsid w:val="000A1579"/>
    <w:rsid w:val="000A4364"/>
    <w:rsid w:val="000A49E4"/>
    <w:rsid w:val="000A4C79"/>
    <w:rsid w:val="000A59AE"/>
    <w:rsid w:val="000A5C4C"/>
    <w:rsid w:val="000A6465"/>
    <w:rsid w:val="000A7CAB"/>
    <w:rsid w:val="000B0301"/>
    <w:rsid w:val="000B32D3"/>
    <w:rsid w:val="000B37B6"/>
    <w:rsid w:val="000B3AAF"/>
    <w:rsid w:val="000B4BB9"/>
    <w:rsid w:val="000B5B26"/>
    <w:rsid w:val="000B658E"/>
    <w:rsid w:val="000B698B"/>
    <w:rsid w:val="000B6AFE"/>
    <w:rsid w:val="000B7279"/>
    <w:rsid w:val="000B74EF"/>
    <w:rsid w:val="000B7B94"/>
    <w:rsid w:val="000B7BF1"/>
    <w:rsid w:val="000C01B5"/>
    <w:rsid w:val="000C0840"/>
    <w:rsid w:val="000C0D5F"/>
    <w:rsid w:val="000C10A8"/>
    <w:rsid w:val="000C19AC"/>
    <w:rsid w:val="000C46A7"/>
    <w:rsid w:val="000C46F6"/>
    <w:rsid w:val="000C545C"/>
    <w:rsid w:val="000C580F"/>
    <w:rsid w:val="000C6680"/>
    <w:rsid w:val="000C7687"/>
    <w:rsid w:val="000C78B2"/>
    <w:rsid w:val="000C7DE2"/>
    <w:rsid w:val="000D08AE"/>
    <w:rsid w:val="000D19EC"/>
    <w:rsid w:val="000D1D50"/>
    <w:rsid w:val="000D1DB7"/>
    <w:rsid w:val="000D20D8"/>
    <w:rsid w:val="000D316C"/>
    <w:rsid w:val="000D6510"/>
    <w:rsid w:val="000D7A93"/>
    <w:rsid w:val="000E03AF"/>
    <w:rsid w:val="000E0A46"/>
    <w:rsid w:val="000E1751"/>
    <w:rsid w:val="000E1DD2"/>
    <w:rsid w:val="000E261F"/>
    <w:rsid w:val="000E27A2"/>
    <w:rsid w:val="000E2B20"/>
    <w:rsid w:val="000E3505"/>
    <w:rsid w:val="000E3F97"/>
    <w:rsid w:val="000E5342"/>
    <w:rsid w:val="000E5D00"/>
    <w:rsid w:val="000E5F7A"/>
    <w:rsid w:val="000E6E07"/>
    <w:rsid w:val="000E7A33"/>
    <w:rsid w:val="000F1890"/>
    <w:rsid w:val="000F1E79"/>
    <w:rsid w:val="000F2691"/>
    <w:rsid w:val="000F2C77"/>
    <w:rsid w:val="000F46C7"/>
    <w:rsid w:val="000F5486"/>
    <w:rsid w:val="000F5714"/>
    <w:rsid w:val="000F5D3F"/>
    <w:rsid w:val="000F68AB"/>
    <w:rsid w:val="001031F4"/>
    <w:rsid w:val="00103FCD"/>
    <w:rsid w:val="00106BE9"/>
    <w:rsid w:val="0010708E"/>
    <w:rsid w:val="00107CFB"/>
    <w:rsid w:val="00107F3F"/>
    <w:rsid w:val="00107F4E"/>
    <w:rsid w:val="00110634"/>
    <w:rsid w:val="00110A2D"/>
    <w:rsid w:val="00110F2F"/>
    <w:rsid w:val="00111566"/>
    <w:rsid w:val="0011174F"/>
    <w:rsid w:val="001126C2"/>
    <w:rsid w:val="00115BF5"/>
    <w:rsid w:val="00117B0F"/>
    <w:rsid w:val="001208E9"/>
    <w:rsid w:val="00120A35"/>
    <w:rsid w:val="00120D1B"/>
    <w:rsid w:val="0012203B"/>
    <w:rsid w:val="001220AF"/>
    <w:rsid w:val="0012261C"/>
    <w:rsid w:val="00122BBD"/>
    <w:rsid w:val="00122FA9"/>
    <w:rsid w:val="001231CE"/>
    <w:rsid w:val="001232B2"/>
    <w:rsid w:val="00123542"/>
    <w:rsid w:val="00123758"/>
    <w:rsid w:val="001238EE"/>
    <w:rsid w:val="00123FC5"/>
    <w:rsid w:val="00124813"/>
    <w:rsid w:val="001262F7"/>
    <w:rsid w:val="001265F2"/>
    <w:rsid w:val="0012696F"/>
    <w:rsid w:val="00127B58"/>
    <w:rsid w:val="0013088F"/>
    <w:rsid w:val="00132E7E"/>
    <w:rsid w:val="001357CF"/>
    <w:rsid w:val="00136047"/>
    <w:rsid w:val="00137B05"/>
    <w:rsid w:val="00137DF2"/>
    <w:rsid w:val="00140601"/>
    <w:rsid w:val="0014194F"/>
    <w:rsid w:val="0014291D"/>
    <w:rsid w:val="001434FD"/>
    <w:rsid w:val="00143553"/>
    <w:rsid w:val="0014432F"/>
    <w:rsid w:val="0014604B"/>
    <w:rsid w:val="001461F9"/>
    <w:rsid w:val="00146B1F"/>
    <w:rsid w:val="001479A6"/>
    <w:rsid w:val="00150278"/>
    <w:rsid w:val="00150FA8"/>
    <w:rsid w:val="00151C66"/>
    <w:rsid w:val="001526BD"/>
    <w:rsid w:val="00152A25"/>
    <w:rsid w:val="001535EE"/>
    <w:rsid w:val="00153A8D"/>
    <w:rsid w:val="00154088"/>
    <w:rsid w:val="00154BC9"/>
    <w:rsid w:val="00155DE4"/>
    <w:rsid w:val="00155FB7"/>
    <w:rsid w:val="00156CD2"/>
    <w:rsid w:val="0015713F"/>
    <w:rsid w:val="0015733C"/>
    <w:rsid w:val="0016001B"/>
    <w:rsid w:val="0016224A"/>
    <w:rsid w:val="00162760"/>
    <w:rsid w:val="00164189"/>
    <w:rsid w:val="00164693"/>
    <w:rsid w:val="00165402"/>
    <w:rsid w:val="00165850"/>
    <w:rsid w:val="00167790"/>
    <w:rsid w:val="00171814"/>
    <w:rsid w:val="00171C38"/>
    <w:rsid w:val="001725AD"/>
    <w:rsid w:val="00173D8B"/>
    <w:rsid w:val="00174B0D"/>
    <w:rsid w:val="001757AA"/>
    <w:rsid w:val="0017593A"/>
    <w:rsid w:val="00175D76"/>
    <w:rsid w:val="00175E66"/>
    <w:rsid w:val="001810E8"/>
    <w:rsid w:val="00181EB2"/>
    <w:rsid w:val="00182739"/>
    <w:rsid w:val="00182A02"/>
    <w:rsid w:val="001837C0"/>
    <w:rsid w:val="00183C7D"/>
    <w:rsid w:val="00184962"/>
    <w:rsid w:val="00185240"/>
    <w:rsid w:val="00185899"/>
    <w:rsid w:val="00190C19"/>
    <w:rsid w:val="00190FE7"/>
    <w:rsid w:val="00191213"/>
    <w:rsid w:val="00191D3F"/>
    <w:rsid w:val="001926B1"/>
    <w:rsid w:val="001929E0"/>
    <w:rsid w:val="00194B5A"/>
    <w:rsid w:val="00194F33"/>
    <w:rsid w:val="00197058"/>
    <w:rsid w:val="001A2919"/>
    <w:rsid w:val="001A3EC4"/>
    <w:rsid w:val="001A42B1"/>
    <w:rsid w:val="001A6085"/>
    <w:rsid w:val="001A72F7"/>
    <w:rsid w:val="001B2182"/>
    <w:rsid w:val="001B2F1F"/>
    <w:rsid w:val="001B3E97"/>
    <w:rsid w:val="001B4336"/>
    <w:rsid w:val="001B4F7D"/>
    <w:rsid w:val="001B5B08"/>
    <w:rsid w:val="001B5C5B"/>
    <w:rsid w:val="001B60DC"/>
    <w:rsid w:val="001B6F44"/>
    <w:rsid w:val="001B7467"/>
    <w:rsid w:val="001B7A46"/>
    <w:rsid w:val="001C34C7"/>
    <w:rsid w:val="001C3E05"/>
    <w:rsid w:val="001C3F24"/>
    <w:rsid w:val="001C41BB"/>
    <w:rsid w:val="001C4F4A"/>
    <w:rsid w:val="001C5116"/>
    <w:rsid w:val="001C6796"/>
    <w:rsid w:val="001D1574"/>
    <w:rsid w:val="001D168A"/>
    <w:rsid w:val="001D40AD"/>
    <w:rsid w:val="001D4AF7"/>
    <w:rsid w:val="001D6A49"/>
    <w:rsid w:val="001E0779"/>
    <w:rsid w:val="001E0FF4"/>
    <w:rsid w:val="001E1A0A"/>
    <w:rsid w:val="001E25FC"/>
    <w:rsid w:val="001E471C"/>
    <w:rsid w:val="001E4DEA"/>
    <w:rsid w:val="001E5842"/>
    <w:rsid w:val="001E6E1D"/>
    <w:rsid w:val="001E753B"/>
    <w:rsid w:val="001F006B"/>
    <w:rsid w:val="001F15C2"/>
    <w:rsid w:val="001F40D1"/>
    <w:rsid w:val="001F4241"/>
    <w:rsid w:val="001F5A4D"/>
    <w:rsid w:val="001F68FB"/>
    <w:rsid w:val="001F7CF6"/>
    <w:rsid w:val="002008C5"/>
    <w:rsid w:val="0020110D"/>
    <w:rsid w:val="00201C91"/>
    <w:rsid w:val="002039F8"/>
    <w:rsid w:val="00204328"/>
    <w:rsid w:val="00204CBF"/>
    <w:rsid w:val="0020520F"/>
    <w:rsid w:val="0020571E"/>
    <w:rsid w:val="00207CDC"/>
    <w:rsid w:val="0021010D"/>
    <w:rsid w:val="002102B0"/>
    <w:rsid w:val="00211630"/>
    <w:rsid w:val="002116DC"/>
    <w:rsid w:val="00211FFE"/>
    <w:rsid w:val="00212015"/>
    <w:rsid w:val="0021209B"/>
    <w:rsid w:val="00212ECC"/>
    <w:rsid w:val="0021392D"/>
    <w:rsid w:val="00214910"/>
    <w:rsid w:val="00214EA9"/>
    <w:rsid w:val="002161AE"/>
    <w:rsid w:val="0021637B"/>
    <w:rsid w:val="0021737B"/>
    <w:rsid w:val="0022030E"/>
    <w:rsid w:val="00220706"/>
    <w:rsid w:val="002207AF"/>
    <w:rsid w:val="002209D9"/>
    <w:rsid w:val="00220B6D"/>
    <w:rsid w:val="00221339"/>
    <w:rsid w:val="00223BD5"/>
    <w:rsid w:val="00223CA0"/>
    <w:rsid w:val="0022411D"/>
    <w:rsid w:val="00225B73"/>
    <w:rsid w:val="00226DC7"/>
    <w:rsid w:val="00226F9B"/>
    <w:rsid w:val="0022799F"/>
    <w:rsid w:val="0023093B"/>
    <w:rsid w:val="00231E58"/>
    <w:rsid w:val="002332D3"/>
    <w:rsid w:val="002340F5"/>
    <w:rsid w:val="002358EE"/>
    <w:rsid w:val="00235AB1"/>
    <w:rsid w:val="00235E77"/>
    <w:rsid w:val="00235FAD"/>
    <w:rsid w:val="002361D3"/>
    <w:rsid w:val="00237611"/>
    <w:rsid w:val="00240CC8"/>
    <w:rsid w:val="00242071"/>
    <w:rsid w:val="0024258A"/>
    <w:rsid w:val="00242B17"/>
    <w:rsid w:val="00243813"/>
    <w:rsid w:val="0024522D"/>
    <w:rsid w:val="00245E51"/>
    <w:rsid w:val="00245F53"/>
    <w:rsid w:val="00246937"/>
    <w:rsid w:val="002477D4"/>
    <w:rsid w:val="00250082"/>
    <w:rsid w:val="00250F6F"/>
    <w:rsid w:val="00251239"/>
    <w:rsid w:val="002527FC"/>
    <w:rsid w:val="00252DC6"/>
    <w:rsid w:val="00253A0F"/>
    <w:rsid w:val="0025417C"/>
    <w:rsid w:val="00254290"/>
    <w:rsid w:val="002542E4"/>
    <w:rsid w:val="00254640"/>
    <w:rsid w:val="00254A8A"/>
    <w:rsid w:val="00255242"/>
    <w:rsid w:val="00255394"/>
    <w:rsid w:val="00255B86"/>
    <w:rsid w:val="00256330"/>
    <w:rsid w:val="0025664D"/>
    <w:rsid w:val="002568CE"/>
    <w:rsid w:val="00256D38"/>
    <w:rsid w:val="002571F7"/>
    <w:rsid w:val="00260EED"/>
    <w:rsid w:val="00261507"/>
    <w:rsid w:val="00262D35"/>
    <w:rsid w:val="00263851"/>
    <w:rsid w:val="00264277"/>
    <w:rsid w:val="00265657"/>
    <w:rsid w:val="002656F4"/>
    <w:rsid w:val="00265E9F"/>
    <w:rsid w:val="00266EE1"/>
    <w:rsid w:val="002701FF"/>
    <w:rsid w:val="002703D9"/>
    <w:rsid w:val="002712EB"/>
    <w:rsid w:val="002723C8"/>
    <w:rsid w:val="00275500"/>
    <w:rsid w:val="002758E3"/>
    <w:rsid w:val="00275E54"/>
    <w:rsid w:val="00277C6B"/>
    <w:rsid w:val="00280006"/>
    <w:rsid w:val="0028006D"/>
    <w:rsid w:val="0028047C"/>
    <w:rsid w:val="002809E7"/>
    <w:rsid w:val="00281D63"/>
    <w:rsid w:val="00282CBA"/>
    <w:rsid w:val="002838F5"/>
    <w:rsid w:val="0028417F"/>
    <w:rsid w:val="0028495B"/>
    <w:rsid w:val="002856AA"/>
    <w:rsid w:val="00287ADD"/>
    <w:rsid w:val="00290E48"/>
    <w:rsid w:val="002910AD"/>
    <w:rsid w:val="00292860"/>
    <w:rsid w:val="002941C7"/>
    <w:rsid w:val="0029520B"/>
    <w:rsid w:val="002953D8"/>
    <w:rsid w:val="00295CC5"/>
    <w:rsid w:val="0029637A"/>
    <w:rsid w:val="00296929"/>
    <w:rsid w:val="0029704A"/>
    <w:rsid w:val="002A0100"/>
    <w:rsid w:val="002A1366"/>
    <w:rsid w:val="002A339C"/>
    <w:rsid w:val="002A3B4D"/>
    <w:rsid w:val="002A3B91"/>
    <w:rsid w:val="002A3E5E"/>
    <w:rsid w:val="002A3FDE"/>
    <w:rsid w:val="002A4FF0"/>
    <w:rsid w:val="002A506F"/>
    <w:rsid w:val="002A5C2E"/>
    <w:rsid w:val="002A687C"/>
    <w:rsid w:val="002A6DC1"/>
    <w:rsid w:val="002B04CA"/>
    <w:rsid w:val="002B0F31"/>
    <w:rsid w:val="002B1586"/>
    <w:rsid w:val="002B22AC"/>
    <w:rsid w:val="002B33A4"/>
    <w:rsid w:val="002B3A98"/>
    <w:rsid w:val="002B3BC2"/>
    <w:rsid w:val="002B4310"/>
    <w:rsid w:val="002B4327"/>
    <w:rsid w:val="002B4E38"/>
    <w:rsid w:val="002B4EC7"/>
    <w:rsid w:val="002B62CB"/>
    <w:rsid w:val="002B69F7"/>
    <w:rsid w:val="002B6D80"/>
    <w:rsid w:val="002B73FD"/>
    <w:rsid w:val="002C2DA0"/>
    <w:rsid w:val="002C42E7"/>
    <w:rsid w:val="002C6418"/>
    <w:rsid w:val="002C6847"/>
    <w:rsid w:val="002C7A12"/>
    <w:rsid w:val="002D0320"/>
    <w:rsid w:val="002D0D19"/>
    <w:rsid w:val="002D2189"/>
    <w:rsid w:val="002D283C"/>
    <w:rsid w:val="002D3151"/>
    <w:rsid w:val="002D33CA"/>
    <w:rsid w:val="002D3408"/>
    <w:rsid w:val="002D3979"/>
    <w:rsid w:val="002D51E9"/>
    <w:rsid w:val="002D522A"/>
    <w:rsid w:val="002D5656"/>
    <w:rsid w:val="002D72E0"/>
    <w:rsid w:val="002D75EC"/>
    <w:rsid w:val="002D7681"/>
    <w:rsid w:val="002E085C"/>
    <w:rsid w:val="002E0BE5"/>
    <w:rsid w:val="002E0CBB"/>
    <w:rsid w:val="002E1533"/>
    <w:rsid w:val="002E22E4"/>
    <w:rsid w:val="002E285E"/>
    <w:rsid w:val="002E3596"/>
    <w:rsid w:val="002E4715"/>
    <w:rsid w:val="002E5527"/>
    <w:rsid w:val="002E599A"/>
    <w:rsid w:val="002E59AC"/>
    <w:rsid w:val="002F1708"/>
    <w:rsid w:val="002F1E6E"/>
    <w:rsid w:val="002F306D"/>
    <w:rsid w:val="002F3424"/>
    <w:rsid w:val="002F38E3"/>
    <w:rsid w:val="002F3AB0"/>
    <w:rsid w:val="002F3B5C"/>
    <w:rsid w:val="002F3FEA"/>
    <w:rsid w:val="002F5BB3"/>
    <w:rsid w:val="002F637A"/>
    <w:rsid w:val="003005A6"/>
    <w:rsid w:val="00300691"/>
    <w:rsid w:val="0030161F"/>
    <w:rsid w:val="00301D0B"/>
    <w:rsid w:val="00301E4D"/>
    <w:rsid w:val="00303488"/>
    <w:rsid w:val="003047F0"/>
    <w:rsid w:val="00306601"/>
    <w:rsid w:val="00306952"/>
    <w:rsid w:val="00306BD9"/>
    <w:rsid w:val="00306FAB"/>
    <w:rsid w:val="00310083"/>
    <w:rsid w:val="00310DFA"/>
    <w:rsid w:val="003117A4"/>
    <w:rsid w:val="00311D5E"/>
    <w:rsid w:val="0031220E"/>
    <w:rsid w:val="003137D3"/>
    <w:rsid w:val="003142E5"/>
    <w:rsid w:val="00315805"/>
    <w:rsid w:val="003179B3"/>
    <w:rsid w:val="00317A34"/>
    <w:rsid w:val="00320642"/>
    <w:rsid w:val="00320770"/>
    <w:rsid w:val="00321414"/>
    <w:rsid w:val="00321933"/>
    <w:rsid w:val="00321E68"/>
    <w:rsid w:val="00322A55"/>
    <w:rsid w:val="00322ADF"/>
    <w:rsid w:val="003240E8"/>
    <w:rsid w:val="00324394"/>
    <w:rsid w:val="00326410"/>
    <w:rsid w:val="00326752"/>
    <w:rsid w:val="00326F9E"/>
    <w:rsid w:val="00330B32"/>
    <w:rsid w:val="00331256"/>
    <w:rsid w:val="00331692"/>
    <w:rsid w:val="00333BF4"/>
    <w:rsid w:val="00336201"/>
    <w:rsid w:val="0033640C"/>
    <w:rsid w:val="00336F53"/>
    <w:rsid w:val="0033752C"/>
    <w:rsid w:val="0033754D"/>
    <w:rsid w:val="00340D93"/>
    <w:rsid w:val="00340E54"/>
    <w:rsid w:val="003416D4"/>
    <w:rsid w:val="003421F1"/>
    <w:rsid w:val="00344EA0"/>
    <w:rsid w:val="003466DD"/>
    <w:rsid w:val="003478BE"/>
    <w:rsid w:val="00350496"/>
    <w:rsid w:val="003504B5"/>
    <w:rsid w:val="003512B3"/>
    <w:rsid w:val="003514A3"/>
    <w:rsid w:val="00351596"/>
    <w:rsid w:val="00352973"/>
    <w:rsid w:val="0035314B"/>
    <w:rsid w:val="00353BF6"/>
    <w:rsid w:val="00354103"/>
    <w:rsid w:val="00354500"/>
    <w:rsid w:val="00354F41"/>
    <w:rsid w:val="00354FAF"/>
    <w:rsid w:val="00355814"/>
    <w:rsid w:val="00360EE4"/>
    <w:rsid w:val="00362AFD"/>
    <w:rsid w:val="00363D86"/>
    <w:rsid w:val="00363E07"/>
    <w:rsid w:val="0036460A"/>
    <w:rsid w:val="00364696"/>
    <w:rsid w:val="003647A8"/>
    <w:rsid w:val="003649B4"/>
    <w:rsid w:val="00366536"/>
    <w:rsid w:val="0036694F"/>
    <w:rsid w:val="003704BF"/>
    <w:rsid w:val="003713A9"/>
    <w:rsid w:val="00371DBE"/>
    <w:rsid w:val="00373062"/>
    <w:rsid w:val="0037307E"/>
    <w:rsid w:val="00373742"/>
    <w:rsid w:val="003744D1"/>
    <w:rsid w:val="00375022"/>
    <w:rsid w:val="0037577C"/>
    <w:rsid w:val="00376179"/>
    <w:rsid w:val="00376200"/>
    <w:rsid w:val="00376EDD"/>
    <w:rsid w:val="00377098"/>
    <w:rsid w:val="00377361"/>
    <w:rsid w:val="003776E1"/>
    <w:rsid w:val="0038180A"/>
    <w:rsid w:val="0038415A"/>
    <w:rsid w:val="00384410"/>
    <w:rsid w:val="00384F0F"/>
    <w:rsid w:val="00386A6F"/>
    <w:rsid w:val="00386BB8"/>
    <w:rsid w:val="00386E35"/>
    <w:rsid w:val="00386EDA"/>
    <w:rsid w:val="00390C6C"/>
    <w:rsid w:val="00391159"/>
    <w:rsid w:val="003915E3"/>
    <w:rsid w:val="00392772"/>
    <w:rsid w:val="003936CC"/>
    <w:rsid w:val="003943ED"/>
    <w:rsid w:val="00394684"/>
    <w:rsid w:val="00394C84"/>
    <w:rsid w:val="00395EDD"/>
    <w:rsid w:val="00397AA2"/>
    <w:rsid w:val="003A12BE"/>
    <w:rsid w:val="003A2E08"/>
    <w:rsid w:val="003A3622"/>
    <w:rsid w:val="003A3CDD"/>
    <w:rsid w:val="003A573A"/>
    <w:rsid w:val="003A6E67"/>
    <w:rsid w:val="003B09F1"/>
    <w:rsid w:val="003B3516"/>
    <w:rsid w:val="003B37C9"/>
    <w:rsid w:val="003B592B"/>
    <w:rsid w:val="003B619D"/>
    <w:rsid w:val="003B7E24"/>
    <w:rsid w:val="003C23BB"/>
    <w:rsid w:val="003C280C"/>
    <w:rsid w:val="003C2A48"/>
    <w:rsid w:val="003C322B"/>
    <w:rsid w:val="003C48B2"/>
    <w:rsid w:val="003C48CB"/>
    <w:rsid w:val="003C4907"/>
    <w:rsid w:val="003C4E00"/>
    <w:rsid w:val="003C5D7D"/>
    <w:rsid w:val="003C62A8"/>
    <w:rsid w:val="003C6E91"/>
    <w:rsid w:val="003D032B"/>
    <w:rsid w:val="003D15EB"/>
    <w:rsid w:val="003D175C"/>
    <w:rsid w:val="003D2953"/>
    <w:rsid w:val="003D2CDD"/>
    <w:rsid w:val="003D5EB9"/>
    <w:rsid w:val="003D6B02"/>
    <w:rsid w:val="003E0939"/>
    <w:rsid w:val="003E0F76"/>
    <w:rsid w:val="003E1B1A"/>
    <w:rsid w:val="003E30C1"/>
    <w:rsid w:val="003E3DE2"/>
    <w:rsid w:val="003E4916"/>
    <w:rsid w:val="003E4B9C"/>
    <w:rsid w:val="003E5806"/>
    <w:rsid w:val="003E680A"/>
    <w:rsid w:val="003E6A03"/>
    <w:rsid w:val="003E7B2D"/>
    <w:rsid w:val="003E7C34"/>
    <w:rsid w:val="003F03A7"/>
    <w:rsid w:val="003F09B2"/>
    <w:rsid w:val="003F1856"/>
    <w:rsid w:val="003F1D38"/>
    <w:rsid w:val="003F3E78"/>
    <w:rsid w:val="003F54AF"/>
    <w:rsid w:val="003F66AF"/>
    <w:rsid w:val="003F6981"/>
    <w:rsid w:val="00400956"/>
    <w:rsid w:val="0040282C"/>
    <w:rsid w:val="00402C49"/>
    <w:rsid w:val="004030BB"/>
    <w:rsid w:val="0040338C"/>
    <w:rsid w:val="004050F0"/>
    <w:rsid w:val="0040536F"/>
    <w:rsid w:val="0040646C"/>
    <w:rsid w:val="0040762B"/>
    <w:rsid w:val="00407A06"/>
    <w:rsid w:val="00407CF0"/>
    <w:rsid w:val="00407EB2"/>
    <w:rsid w:val="0041053B"/>
    <w:rsid w:val="0041081A"/>
    <w:rsid w:val="00411694"/>
    <w:rsid w:val="00411B96"/>
    <w:rsid w:val="00411C59"/>
    <w:rsid w:val="00412850"/>
    <w:rsid w:val="00413FA5"/>
    <w:rsid w:val="004143E4"/>
    <w:rsid w:val="004148B0"/>
    <w:rsid w:val="004155F9"/>
    <w:rsid w:val="00420A4E"/>
    <w:rsid w:val="00421321"/>
    <w:rsid w:val="00421D95"/>
    <w:rsid w:val="004240B2"/>
    <w:rsid w:val="00425221"/>
    <w:rsid w:val="0042525A"/>
    <w:rsid w:val="004262EF"/>
    <w:rsid w:val="00426B53"/>
    <w:rsid w:val="004304A5"/>
    <w:rsid w:val="00430A50"/>
    <w:rsid w:val="00432327"/>
    <w:rsid w:val="00435E9F"/>
    <w:rsid w:val="00435EA8"/>
    <w:rsid w:val="004372E7"/>
    <w:rsid w:val="004375D7"/>
    <w:rsid w:val="00437CCE"/>
    <w:rsid w:val="00441842"/>
    <w:rsid w:val="00441F97"/>
    <w:rsid w:val="0044200C"/>
    <w:rsid w:val="004425F4"/>
    <w:rsid w:val="00442D88"/>
    <w:rsid w:val="00442E31"/>
    <w:rsid w:val="00443710"/>
    <w:rsid w:val="0044382F"/>
    <w:rsid w:val="00443A3E"/>
    <w:rsid w:val="00443D01"/>
    <w:rsid w:val="0044558A"/>
    <w:rsid w:val="00445E56"/>
    <w:rsid w:val="00445FF8"/>
    <w:rsid w:val="0044636D"/>
    <w:rsid w:val="00450DCF"/>
    <w:rsid w:val="0045306E"/>
    <w:rsid w:val="00453117"/>
    <w:rsid w:val="00453CD7"/>
    <w:rsid w:val="00454873"/>
    <w:rsid w:val="00455B04"/>
    <w:rsid w:val="004562F1"/>
    <w:rsid w:val="0045764D"/>
    <w:rsid w:val="00460DC1"/>
    <w:rsid w:val="00460EA6"/>
    <w:rsid w:val="00461389"/>
    <w:rsid w:val="004629A6"/>
    <w:rsid w:val="00462DBD"/>
    <w:rsid w:val="004641CE"/>
    <w:rsid w:val="00466F07"/>
    <w:rsid w:val="00467174"/>
    <w:rsid w:val="004672AF"/>
    <w:rsid w:val="00470612"/>
    <w:rsid w:val="00470EF1"/>
    <w:rsid w:val="00471920"/>
    <w:rsid w:val="00474388"/>
    <w:rsid w:val="00474397"/>
    <w:rsid w:val="00474418"/>
    <w:rsid w:val="0047464E"/>
    <w:rsid w:val="004751B1"/>
    <w:rsid w:val="00475DEC"/>
    <w:rsid w:val="00475E58"/>
    <w:rsid w:val="00476104"/>
    <w:rsid w:val="004761F8"/>
    <w:rsid w:val="00480E25"/>
    <w:rsid w:val="00480ED2"/>
    <w:rsid w:val="00480EFD"/>
    <w:rsid w:val="004844E5"/>
    <w:rsid w:val="004864B4"/>
    <w:rsid w:val="004865AE"/>
    <w:rsid w:val="00486D04"/>
    <w:rsid w:val="00487818"/>
    <w:rsid w:val="00487C2A"/>
    <w:rsid w:val="0049117A"/>
    <w:rsid w:val="00491E61"/>
    <w:rsid w:val="004927C1"/>
    <w:rsid w:val="0049287D"/>
    <w:rsid w:val="00492B1C"/>
    <w:rsid w:val="00492C36"/>
    <w:rsid w:val="00493321"/>
    <w:rsid w:val="0049342A"/>
    <w:rsid w:val="00493AD7"/>
    <w:rsid w:val="00494355"/>
    <w:rsid w:val="00494DEC"/>
    <w:rsid w:val="00496E89"/>
    <w:rsid w:val="0049755E"/>
    <w:rsid w:val="0049795D"/>
    <w:rsid w:val="00497AE9"/>
    <w:rsid w:val="004A00A3"/>
    <w:rsid w:val="004A01DE"/>
    <w:rsid w:val="004A0443"/>
    <w:rsid w:val="004A1110"/>
    <w:rsid w:val="004A379F"/>
    <w:rsid w:val="004A3CEC"/>
    <w:rsid w:val="004A5595"/>
    <w:rsid w:val="004A5993"/>
    <w:rsid w:val="004A616E"/>
    <w:rsid w:val="004A68DF"/>
    <w:rsid w:val="004A6DDB"/>
    <w:rsid w:val="004B02FC"/>
    <w:rsid w:val="004B137F"/>
    <w:rsid w:val="004B181D"/>
    <w:rsid w:val="004B311C"/>
    <w:rsid w:val="004B3CC8"/>
    <w:rsid w:val="004B446F"/>
    <w:rsid w:val="004B61CB"/>
    <w:rsid w:val="004B6343"/>
    <w:rsid w:val="004B687A"/>
    <w:rsid w:val="004B6CC6"/>
    <w:rsid w:val="004B786E"/>
    <w:rsid w:val="004C0838"/>
    <w:rsid w:val="004C0B67"/>
    <w:rsid w:val="004C0E09"/>
    <w:rsid w:val="004C2094"/>
    <w:rsid w:val="004C22A9"/>
    <w:rsid w:val="004C23B2"/>
    <w:rsid w:val="004C2F93"/>
    <w:rsid w:val="004C370C"/>
    <w:rsid w:val="004C380F"/>
    <w:rsid w:val="004C3C8C"/>
    <w:rsid w:val="004C69C8"/>
    <w:rsid w:val="004C7526"/>
    <w:rsid w:val="004C773E"/>
    <w:rsid w:val="004C793D"/>
    <w:rsid w:val="004D0133"/>
    <w:rsid w:val="004D1DE4"/>
    <w:rsid w:val="004D3A4D"/>
    <w:rsid w:val="004D5663"/>
    <w:rsid w:val="004D5829"/>
    <w:rsid w:val="004D69C7"/>
    <w:rsid w:val="004D6FFA"/>
    <w:rsid w:val="004D7C0C"/>
    <w:rsid w:val="004E0261"/>
    <w:rsid w:val="004E0C65"/>
    <w:rsid w:val="004E26E3"/>
    <w:rsid w:val="004E58DD"/>
    <w:rsid w:val="004E5C52"/>
    <w:rsid w:val="004E5E34"/>
    <w:rsid w:val="004E66A4"/>
    <w:rsid w:val="004E6B55"/>
    <w:rsid w:val="004E742C"/>
    <w:rsid w:val="004E7E80"/>
    <w:rsid w:val="004F00C4"/>
    <w:rsid w:val="004F072C"/>
    <w:rsid w:val="004F16C2"/>
    <w:rsid w:val="004F16C4"/>
    <w:rsid w:val="004F1CA4"/>
    <w:rsid w:val="004F1EDF"/>
    <w:rsid w:val="004F25CD"/>
    <w:rsid w:val="004F4B47"/>
    <w:rsid w:val="004F546B"/>
    <w:rsid w:val="004F675F"/>
    <w:rsid w:val="004F684A"/>
    <w:rsid w:val="004F76E0"/>
    <w:rsid w:val="0050023F"/>
    <w:rsid w:val="00500C2C"/>
    <w:rsid w:val="00501030"/>
    <w:rsid w:val="005018FF"/>
    <w:rsid w:val="00502BFE"/>
    <w:rsid w:val="00502DD4"/>
    <w:rsid w:val="005049A6"/>
    <w:rsid w:val="00504AC8"/>
    <w:rsid w:val="00504B31"/>
    <w:rsid w:val="00504EBC"/>
    <w:rsid w:val="005056E0"/>
    <w:rsid w:val="005058FE"/>
    <w:rsid w:val="00505A37"/>
    <w:rsid w:val="00506526"/>
    <w:rsid w:val="005068D0"/>
    <w:rsid w:val="00507FC8"/>
    <w:rsid w:val="00510829"/>
    <w:rsid w:val="00512FBC"/>
    <w:rsid w:val="00513582"/>
    <w:rsid w:val="00514FD1"/>
    <w:rsid w:val="00516BF3"/>
    <w:rsid w:val="00517039"/>
    <w:rsid w:val="005213E1"/>
    <w:rsid w:val="005220F0"/>
    <w:rsid w:val="00523055"/>
    <w:rsid w:val="00524455"/>
    <w:rsid w:val="00524537"/>
    <w:rsid w:val="00524777"/>
    <w:rsid w:val="00525B35"/>
    <w:rsid w:val="00525E7F"/>
    <w:rsid w:val="00526106"/>
    <w:rsid w:val="00527657"/>
    <w:rsid w:val="005276E3"/>
    <w:rsid w:val="00530064"/>
    <w:rsid w:val="005303A6"/>
    <w:rsid w:val="0053067E"/>
    <w:rsid w:val="00531905"/>
    <w:rsid w:val="00531992"/>
    <w:rsid w:val="00531F13"/>
    <w:rsid w:val="00533182"/>
    <w:rsid w:val="0053591E"/>
    <w:rsid w:val="00537137"/>
    <w:rsid w:val="00537882"/>
    <w:rsid w:val="00537AED"/>
    <w:rsid w:val="00537B10"/>
    <w:rsid w:val="00537E4B"/>
    <w:rsid w:val="00540CC1"/>
    <w:rsid w:val="00540E02"/>
    <w:rsid w:val="00541540"/>
    <w:rsid w:val="00542DBF"/>
    <w:rsid w:val="00544311"/>
    <w:rsid w:val="00545BB2"/>
    <w:rsid w:val="00545F51"/>
    <w:rsid w:val="00547C9E"/>
    <w:rsid w:val="00547F58"/>
    <w:rsid w:val="005506FD"/>
    <w:rsid w:val="00552D9C"/>
    <w:rsid w:val="005536C9"/>
    <w:rsid w:val="00556D53"/>
    <w:rsid w:val="00556E97"/>
    <w:rsid w:val="00557D3C"/>
    <w:rsid w:val="00560662"/>
    <w:rsid w:val="005614E8"/>
    <w:rsid w:val="00561993"/>
    <w:rsid w:val="00561D34"/>
    <w:rsid w:val="005622F1"/>
    <w:rsid w:val="00562646"/>
    <w:rsid w:val="00564A19"/>
    <w:rsid w:val="00564A77"/>
    <w:rsid w:val="0056557B"/>
    <w:rsid w:val="00565D54"/>
    <w:rsid w:val="00565F67"/>
    <w:rsid w:val="005667C8"/>
    <w:rsid w:val="005676AA"/>
    <w:rsid w:val="0057045F"/>
    <w:rsid w:val="00570AC3"/>
    <w:rsid w:val="00570B2C"/>
    <w:rsid w:val="00571A0E"/>
    <w:rsid w:val="00572AE8"/>
    <w:rsid w:val="00572C85"/>
    <w:rsid w:val="00572CB1"/>
    <w:rsid w:val="0057342C"/>
    <w:rsid w:val="00574347"/>
    <w:rsid w:val="00574907"/>
    <w:rsid w:val="00575036"/>
    <w:rsid w:val="00575167"/>
    <w:rsid w:val="00575C9C"/>
    <w:rsid w:val="00575E6B"/>
    <w:rsid w:val="0057671A"/>
    <w:rsid w:val="00576DC1"/>
    <w:rsid w:val="0058123C"/>
    <w:rsid w:val="005813B5"/>
    <w:rsid w:val="00581E4D"/>
    <w:rsid w:val="005833EA"/>
    <w:rsid w:val="0058348C"/>
    <w:rsid w:val="0058387F"/>
    <w:rsid w:val="00585892"/>
    <w:rsid w:val="005863E1"/>
    <w:rsid w:val="00586621"/>
    <w:rsid w:val="00586C88"/>
    <w:rsid w:val="00586D34"/>
    <w:rsid w:val="00590CE6"/>
    <w:rsid w:val="00590E70"/>
    <w:rsid w:val="0059165D"/>
    <w:rsid w:val="00591A1D"/>
    <w:rsid w:val="00591CC4"/>
    <w:rsid w:val="005938E3"/>
    <w:rsid w:val="00594A0F"/>
    <w:rsid w:val="0059645E"/>
    <w:rsid w:val="0059694F"/>
    <w:rsid w:val="0059763A"/>
    <w:rsid w:val="00597C51"/>
    <w:rsid w:val="005A041B"/>
    <w:rsid w:val="005A07BD"/>
    <w:rsid w:val="005A19DD"/>
    <w:rsid w:val="005A1D93"/>
    <w:rsid w:val="005A2DB4"/>
    <w:rsid w:val="005A2F49"/>
    <w:rsid w:val="005A35FF"/>
    <w:rsid w:val="005A40F8"/>
    <w:rsid w:val="005A448F"/>
    <w:rsid w:val="005A53BE"/>
    <w:rsid w:val="005A54A3"/>
    <w:rsid w:val="005A5A5F"/>
    <w:rsid w:val="005A5E4B"/>
    <w:rsid w:val="005A6B83"/>
    <w:rsid w:val="005A72C8"/>
    <w:rsid w:val="005B07AD"/>
    <w:rsid w:val="005B29AE"/>
    <w:rsid w:val="005B2FDC"/>
    <w:rsid w:val="005B41F6"/>
    <w:rsid w:val="005B4EBE"/>
    <w:rsid w:val="005B614D"/>
    <w:rsid w:val="005B65F8"/>
    <w:rsid w:val="005C014C"/>
    <w:rsid w:val="005C26A4"/>
    <w:rsid w:val="005C2942"/>
    <w:rsid w:val="005C2C3D"/>
    <w:rsid w:val="005C2D1E"/>
    <w:rsid w:val="005C3BB7"/>
    <w:rsid w:val="005C3C9F"/>
    <w:rsid w:val="005C4E12"/>
    <w:rsid w:val="005C5D26"/>
    <w:rsid w:val="005C5FD9"/>
    <w:rsid w:val="005C638F"/>
    <w:rsid w:val="005C7009"/>
    <w:rsid w:val="005C7566"/>
    <w:rsid w:val="005D0D62"/>
    <w:rsid w:val="005D26FC"/>
    <w:rsid w:val="005D2ABC"/>
    <w:rsid w:val="005D4B2B"/>
    <w:rsid w:val="005E078C"/>
    <w:rsid w:val="005E0B6B"/>
    <w:rsid w:val="005E0D0B"/>
    <w:rsid w:val="005E2B6C"/>
    <w:rsid w:val="005E380E"/>
    <w:rsid w:val="005E4179"/>
    <w:rsid w:val="005E430F"/>
    <w:rsid w:val="005E4354"/>
    <w:rsid w:val="005E462B"/>
    <w:rsid w:val="005E6B14"/>
    <w:rsid w:val="005F02FF"/>
    <w:rsid w:val="005F0D8F"/>
    <w:rsid w:val="005F236C"/>
    <w:rsid w:val="005F2BA4"/>
    <w:rsid w:val="005F3485"/>
    <w:rsid w:val="005F349B"/>
    <w:rsid w:val="005F3DAE"/>
    <w:rsid w:val="005F428D"/>
    <w:rsid w:val="005F4F20"/>
    <w:rsid w:val="005F63E8"/>
    <w:rsid w:val="005F66D8"/>
    <w:rsid w:val="005F67B6"/>
    <w:rsid w:val="005F756F"/>
    <w:rsid w:val="005F7B98"/>
    <w:rsid w:val="00600DCD"/>
    <w:rsid w:val="0060116D"/>
    <w:rsid w:val="006019FD"/>
    <w:rsid w:val="00602BF1"/>
    <w:rsid w:val="00604801"/>
    <w:rsid w:val="00604DFC"/>
    <w:rsid w:val="006061A4"/>
    <w:rsid w:val="00607DB9"/>
    <w:rsid w:val="00610320"/>
    <w:rsid w:val="00611F4D"/>
    <w:rsid w:val="006133E1"/>
    <w:rsid w:val="00613C5A"/>
    <w:rsid w:val="00615245"/>
    <w:rsid w:val="00617485"/>
    <w:rsid w:val="00620AF6"/>
    <w:rsid w:val="00622C97"/>
    <w:rsid w:val="00623A98"/>
    <w:rsid w:val="006246A6"/>
    <w:rsid w:val="00624E4E"/>
    <w:rsid w:val="00624F75"/>
    <w:rsid w:val="00625A75"/>
    <w:rsid w:val="00626B11"/>
    <w:rsid w:val="0062753F"/>
    <w:rsid w:val="0063138B"/>
    <w:rsid w:val="006316BC"/>
    <w:rsid w:val="006341C6"/>
    <w:rsid w:val="006342EF"/>
    <w:rsid w:val="00635309"/>
    <w:rsid w:val="00635632"/>
    <w:rsid w:val="00635E51"/>
    <w:rsid w:val="0063656F"/>
    <w:rsid w:val="00636E4A"/>
    <w:rsid w:val="006402A3"/>
    <w:rsid w:val="00640651"/>
    <w:rsid w:val="00642036"/>
    <w:rsid w:val="00642B78"/>
    <w:rsid w:val="00642B7A"/>
    <w:rsid w:val="006432E1"/>
    <w:rsid w:val="00643892"/>
    <w:rsid w:val="00644DD5"/>
    <w:rsid w:val="00645236"/>
    <w:rsid w:val="0064598B"/>
    <w:rsid w:val="00645E2B"/>
    <w:rsid w:val="00647DBF"/>
    <w:rsid w:val="00652171"/>
    <w:rsid w:val="0065298E"/>
    <w:rsid w:val="00652C04"/>
    <w:rsid w:val="00653541"/>
    <w:rsid w:val="0065376C"/>
    <w:rsid w:val="00654C38"/>
    <w:rsid w:val="0065576F"/>
    <w:rsid w:val="0065592F"/>
    <w:rsid w:val="00655A47"/>
    <w:rsid w:val="006565B4"/>
    <w:rsid w:val="00656CDC"/>
    <w:rsid w:val="006571F9"/>
    <w:rsid w:val="0065767E"/>
    <w:rsid w:val="00663420"/>
    <w:rsid w:val="00663995"/>
    <w:rsid w:val="00664AE1"/>
    <w:rsid w:val="00666B81"/>
    <w:rsid w:val="00667939"/>
    <w:rsid w:val="00667C53"/>
    <w:rsid w:val="006701D4"/>
    <w:rsid w:val="00671DB2"/>
    <w:rsid w:val="00672068"/>
    <w:rsid w:val="006720F7"/>
    <w:rsid w:val="006747D1"/>
    <w:rsid w:val="00676744"/>
    <w:rsid w:val="0067675C"/>
    <w:rsid w:val="006774DC"/>
    <w:rsid w:val="00677AEF"/>
    <w:rsid w:val="006805EA"/>
    <w:rsid w:val="006809C7"/>
    <w:rsid w:val="006811D4"/>
    <w:rsid w:val="00683060"/>
    <w:rsid w:val="006832EE"/>
    <w:rsid w:val="00684EAF"/>
    <w:rsid w:val="00685F5C"/>
    <w:rsid w:val="0068732B"/>
    <w:rsid w:val="006878F6"/>
    <w:rsid w:val="006902D6"/>
    <w:rsid w:val="00691F59"/>
    <w:rsid w:val="006924DE"/>
    <w:rsid w:val="006927C4"/>
    <w:rsid w:val="00695167"/>
    <w:rsid w:val="00695769"/>
    <w:rsid w:val="00695C23"/>
    <w:rsid w:val="006963D8"/>
    <w:rsid w:val="00696EB6"/>
    <w:rsid w:val="00697937"/>
    <w:rsid w:val="006A02F5"/>
    <w:rsid w:val="006A0320"/>
    <w:rsid w:val="006A1D61"/>
    <w:rsid w:val="006A1F9F"/>
    <w:rsid w:val="006A2B30"/>
    <w:rsid w:val="006A3F4D"/>
    <w:rsid w:val="006A4043"/>
    <w:rsid w:val="006A43A5"/>
    <w:rsid w:val="006A4452"/>
    <w:rsid w:val="006A4B60"/>
    <w:rsid w:val="006A5287"/>
    <w:rsid w:val="006A6470"/>
    <w:rsid w:val="006A650E"/>
    <w:rsid w:val="006A674F"/>
    <w:rsid w:val="006A6801"/>
    <w:rsid w:val="006A6A08"/>
    <w:rsid w:val="006A77A3"/>
    <w:rsid w:val="006A7C9B"/>
    <w:rsid w:val="006B0D0A"/>
    <w:rsid w:val="006B1DDD"/>
    <w:rsid w:val="006B2835"/>
    <w:rsid w:val="006B3B4C"/>
    <w:rsid w:val="006B482B"/>
    <w:rsid w:val="006B56C0"/>
    <w:rsid w:val="006B5748"/>
    <w:rsid w:val="006B6726"/>
    <w:rsid w:val="006B7318"/>
    <w:rsid w:val="006B77D7"/>
    <w:rsid w:val="006B7B56"/>
    <w:rsid w:val="006C31A7"/>
    <w:rsid w:val="006C3E92"/>
    <w:rsid w:val="006C40FD"/>
    <w:rsid w:val="006C419E"/>
    <w:rsid w:val="006C4D24"/>
    <w:rsid w:val="006C57A8"/>
    <w:rsid w:val="006C6340"/>
    <w:rsid w:val="006C7479"/>
    <w:rsid w:val="006C78F5"/>
    <w:rsid w:val="006D01A4"/>
    <w:rsid w:val="006D1162"/>
    <w:rsid w:val="006D2EA1"/>
    <w:rsid w:val="006D3212"/>
    <w:rsid w:val="006D37ED"/>
    <w:rsid w:val="006D3926"/>
    <w:rsid w:val="006D3C7D"/>
    <w:rsid w:val="006D3E2B"/>
    <w:rsid w:val="006D41AF"/>
    <w:rsid w:val="006D63BA"/>
    <w:rsid w:val="006D6C73"/>
    <w:rsid w:val="006E1119"/>
    <w:rsid w:val="006E3278"/>
    <w:rsid w:val="006E3D39"/>
    <w:rsid w:val="006E53A8"/>
    <w:rsid w:val="006E58B5"/>
    <w:rsid w:val="006E5EED"/>
    <w:rsid w:val="006F074C"/>
    <w:rsid w:val="006F0F64"/>
    <w:rsid w:val="006F1515"/>
    <w:rsid w:val="006F1DFB"/>
    <w:rsid w:val="006F2C84"/>
    <w:rsid w:val="006F3A27"/>
    <w:rsid w:val="006F7BB9"/>
    <w:rsid w:val="00700586"/>
    <w:rsid w:val="007008B5"/>
    <w:rsid w:val="00701011"/>
    <w:rsid w:val="00701818"/>
    <w:rsid w:val="00701CB9"/>
    <w:rsid w:val="007021BC"/>
    <w:rsid w:val="00702B60"/>
    <w:rsid w:val="00703411"/>
    <w:rsid w:val="00703446"/>
    <w:rsid w:val="00704FB1"/>
    <w:rsid w:val="007073DC"/>
    <w:rsid w:val="007076D2"/>
    <w:rsid w:val="00711B75"/>
    <w:rsid w:val="00712AA2"/>
    <w:rsid w:val="00713BA2"/>
    <w:rsid w:val="0071450A"/>
    <w:rsid w:val="00714C53"/>
    <w:rsid w:val="007157FD"/>
    <w:rsid w:val="00716D1A"/>
    <w:rsid w:val="0071756A"/>
    <w:rsid w:val="007209B0"/>
    <w:rsid w:val="00721605"/>
    <w:rsid w:val="0072204C"/>
    <w:rsid w:val="0072369D"/>
    <w:rsid w:val="00724738"/>
    <w:rsid w:val="00725C89"/>
    <w:rsid w:val="00727042"/>
    <w:rsid w:val="00727ADE"/>
    <w:rsid w:val="00730718"/>
    <w:rsid w:val="007307B8"/>
    <w:rsid w:val="00731DC7"/>
    <w:rsid w:val="0073296F"/>
    <w:rsid w:val="00732A17"/>
    <w:rsid w:val="00733697"/>
    <w:rsid w:val="00733B93"/>
    <w:rsid w:val="00733DED"/>
    <w:rsid w:val="00734941"/>
    <w:rsid w:val="00734D83"/>
    <w:rsid w:val="007363A5"/>
    <w:rsid w:val="00736535"/>
    <w:rsid w:val="007415C1"/>
    <w:rsid w:val="007417B0"/>
    <w:rsid w:val="00741CCC"/>
    <w:rsid w:val="0074211F"/>
    <w:rsid w:val="00742A33"/>
    <w:rsid w:val="00742F6B"/>
    <w:rsid w:val="007461D1"/>
    <w:rsid w:val="00746402"/>
    <w:rsid w:val="00746E60"/>
    <w:rsid w:val="007473B3"/>
    <w:rsid w:val="00747FBA"/>
    <w:rsid w:val="0075029F"/>
    <w:rsid w:val="007526AA"/>
    <w:rsid w:val="0075395C"/>
    <w:rsid w:val="00753FC2"/>
    <w:rsid w:val="00755D81"/>
    <w:rsid w:val="0075625B"/>
    <w:rsid w:val="00756947"/>
    <w:rsid w:val="00757BA8"/>
    <w:rsid w:val="00760EB1"/>
    <w:rsid w:val="007615CF"/>
    <w:rsid w:val="0076160C"/>
    <w:rsid w:val="00762234"/>
    <w:rsid w:val="007624E6"/>
    <w:rsid w:val="00763811"/>
    <w:rsid w:val="0076561C"/>
    <w:rsid w:val="0076774F"/>
    <w:rsid w:val="00770E8D"/>
    <w:rsid w:val="00772E73"/>
    <w:rsid w:val="00773DD4"/>
    <w:rsid w:val="00774A6E"/>
    <w:rsid w:val="00775110"/>
    <w:rsid w:val="00776EB5"/>
    <w:rsid w:val="00777EB9"/>
    <w:rsid w:val="007818D1"/>
    <w:rsid w:val="00782B25"/>
    <w:rsid w:val="00782FA6"/>
    <w:rsid w:val="00784345"/>
    <w:rsid w:val="0078462D"/>
    <w:rsid w:val="00785804"/>
    <w:rsid w:val="00785932"/>
    <w:rsid w:val="00785AEE"/>
    <w:rsid w:val="007869EE"/>
    <w:rsid w:val="007877C8"/>
    <w:rsid w:val="00787CCD"/>
    <w:rsid w:val="00787F53"/>
    <w:rsid w:val="0079093F"/>
    <w:rsid w:val="00791358"/>
    <w:rsid w:val="00791594"/>
    <w:rsid w:val="00791725"/>
    <w:rsid w:val="00791906"/>
    <w:rsid w:val="00791F46"/>
    <w:rsid w:val="00792F01"/>
    <w:rsid w:val="00794A46"/>
    <w:rsid w:val="00794F0B"/>
    <w:rsid w:val="0079677C"/>
    <w:rsid w:val="00796B33"/>
    <w:rsid w:val="00796B46"/>
    <w:rsid w:val="007A06F3"/>
    <w:rsid w:val="007A46FF"/>
    <w:rsid w:val="007A4DD2"/>
    <w:rsid w:val="007A532B"/>
    <w:rsid w:val="007A5A2E"/>
    <w:rsid w:val="007A7C4B"/>
    <w:rsid w:val="007B011F"/>
    <w:rsid w:val="007B04E7"/>
    <w:rsid w:val="007B1077"/>
    <w:rsid w:val="007B1270"/>
    <w:rsid w:val="007B1B0B"/>
    <w:rsid w:val="007B1B18"/>
    <w:rsid w:val="007B40C8"/>
    <w:rsid w:val="007B42E7"/>
    <w:rsid w:val="007B546C"/>
    <w:rsid w:val="007B6437"/>
    <w:rsid w:val="007B6448"/>
    <w:rsid w:val="007C1069"/>
    <w:rsid w:val="007C1149"/>
    <w:rsid w:val="007C2DA2"/>
    <w:rsid w:val="007C37C0"/>
    <w:rsid w:val="007C3E8E"/>
    <w:rsid w:val="007C5D9F"/>
    <w:rsid w:val="007C6CD9"/>
    <w:rsid w:val="007C6F08"/>
    <w:rsid w:val="007C7B75"/>
    <w:rsid w:val="007D0640"/>
    <w:rsid w:val="007D14A8"/>
    <w:rsid w:val="007D18E3"/>
    <w:rsid w:val="007D35F5"/>
    <w:rsid w:val="007D5060"/>
    <w:rsid w:val="007D5D27"/>
    <w:rsid w:val="007D6FB3"/>
    <w:rsid w:val="007E0ACF"/>
    <w:rsid w:val="007E1737"/>
    <w:rsid w:val="007E1F04"/>
    <w:rsid w:val="007E2484"/>
    <w:rsid w:val="007E3154"/>
    <w:rsid w:val="007E4447"/>
    <w:rsid w:val="007E4FD8"/>
    <w:rsid w:val="007E5426"/>
    <w:rsid w:val="007E5D2A"/>
    <w:rsid w:val="007E60B5"/>
    <w:rsid w:val="007E71DC"/>
    <w:rsid w:val="007F06E1"/>
    <w:rsid w:val="007F06ED"/>
    <w:rsid w:val="007F0F54"/>
    <w:rsid w:val="007F17D1"/>
    <w:rsid w:val="007F190A"/>
    <w:rsid w:val="007F29D2"/>
    <w:rsid w:val="007F2B62"/>
    <w:rsid w:val="007F3975"/>
    <w:rsid w:val="007F56A6"/>
    <w:rsid w:val="007F6F4B"/>
    <w:rsid w:val="007F719D"/>
    <w:rsid w:val="008012F2"/>
    <w:rsid w:val="008029A7"/>
    <w:rsid w:val="00803174"/>
    <w:rsid w:val="008052A0"/>
    <w:rsid w:val="0080715C"/>
    <w:rsid w:val="0080717E"/>
    <w:rsid w:val="008101F4"/>
    <w:rsid w:val="008111FB"/>
    <w:rsid w:val="00811372"/>
    <w:rsid w:val="00811906"/>
    <w:rsid w:val="00813D76"/>
    <w:rsid w:val="008145DB"/>
    <w:rsid w:val="00815227"/>
    <w:rsid w:val="008155BE"/>
    <w:rsid w:val="008161BC"/>
    <w:rsid w:val="00817066"/>
    <w:rsid w:val="008170E1"/>
    <w:rsid w:val="00820001"/>
    <w:rsid w:val="008202EF"/>
    <w:rsid w:val="0082115B"/>
    <w:rsid w:val="008214EE"/>
    <w:rsid w:val="0082163B"/>
    <w:rsid w:val="00821D11"/>
    <w:rsid w:val="00823621"/>
    <w:rsid w:val="00823A89"/>
    <w:rsid w:val="00823E64"/>
    <w:rsid w:val="00824AD6"/>
    <w:rsid w:val="00825087"/>
    <w:rsid w:val="00825FF1"/>
    <w:rsid w:val="00826E37"/>
    <w:rsid w:val="00827420"/>
    <w:rsid w:val="00830E67"/>
    <w:rsid w:val="00831060"/>
    <w:rsid w:val="00831C1F"/>
    <w:rsid w:val="00831DB8"/>
    <w:rsid w:val="00832063"/>
    <w:rsid w:val="00832851"/>
    <w:rsid w:val="00832875"/>
    <w:rsid w:val="00832D12"/>
    <w:rsid w:val="00834E8F"/>
    <w:rsid w:val="00835334"/>
    <w:rsid w:val="00835B4E"/>
    <w:rsid w:val="00841CE2"/>
    <w:rsid w:val="0084208B"/>
    <w:rsid w:val="008425AC"/>
    <w:rsid w:val="008430A7"/>
    <w:rsid w:val="008441F7"/>
    <w:rsid w:val="0084457C"/>
    <w:rsid w:val="00846431"/>
    <w:rsid w:val="00846A4D"/>
    <w:rsid w:val="00846F2D"/>
    <w:rsid w:val="00847287"/>
    <w:rsid w:val="0084759D"/>
    <w:rsid w:val="00847CFB"/>
    <w:rsid w:val="00850015"/>
    <w:rsid w:val="00850186"/>
    <w:rsid w:val="00850213"/>
    <w:rsid w:val="0085049F"/>
    <w:rsid w:val="00851387"/>
    <w:rsid w:val="00851B94"/>
    <w:rsid w:val="008527F0"/>
    <w:rsid w:val="00852A3D"/>
    <w:rsid w:val="00852CAB"/>
    <w:rsid w:val="008535D1"/>
    <w:rsid w:val="00854402"/>
    <w:rsid w:val="00855689"/>
    <w:rsid w:val="008557E6"/>
    <w:rsid w:val="008564F3"/>
    <w:rsid w:val="0085712D"/>
    <w:rsid w:val="008571FA"/>
    <w:rsid w:val="00857E53"/>
    <w:rsid w:val="00857FBE"/>
    <w:rsid w:val="00860E87"/>
    <w:rsid w:val="008612C9"/>
    <w:rsid w:val="008618CA"/>
    <w:rsid w:val="00861FEF"/>
    <w:rsid w:val="008627B4"/>
    <w:rsid w:val="00862CCB"/>
    <w:rsid w:val="00863E53"/>
    <w:rsid w:val="008646DC"/>
    <w:rsid w:val="00865457"/>
    <w:rsid w:val="008665C0"/>
    <w:rsid w:val="00867A94"/>
    <w:rsid w:val="00867B8A"/>
    <w:rsid w:val="00870AEC"/>
    <w:rsid w:val="00870BB4"/>
    <w:rsid w:val="008720B0"/>
    <w:rsid w:val="00872D7F"/>
    <w:rsid w:val="0087311D"/>
    <w:rsid w:val="0087325E"/>
    <w:rsid w:val="008734E5"/>
    <w:rsid w:val="00873831"/>
    <w:rsid w:val="00874ED9"/>
    <w:rsid w:val="00876499"/>
    <w:rsid w:val="008767AD"/>
    <w:rsid w:val="008770F2"/>
    <w:rsid w:val="008772A6"/>
    <w:rsid w:val="00877579"/>
    <w:rsid w:val="0088011B"/>
    <w:rsid w:val="00882063"/>
    <w:rsid w:val="0088221D"/>
    <w:rsid w:val="0088227D"/>
    <w:rsid w:val="00882D63"/>
    <w:rsid w:val="00882E12"/>
    <w:rsid w:val="00883636"/>
    <w:rsid w:val="008838C1"/>
    <w:rsid w:val="00883AA0"/>
    <w:rsid w:val="00883CC4"/>
    <w:rsid w:val="008843EA"/>
    <w:rsid w:val="00884679"/>
    <w:rsid w:val="00884996"/>
    <w:rsid w:val="008851D1"/>
    <w:rsid w:val="008852D1"/>
    <w:rsid w:val="00885C1B"/>
    <w:rsid w:val="00886699"/>
    <w:rsid w:val="0089005B"/>
    <w:rsid w:val="0089080B"/>
    <w:rsid w:val="00890EB9"/>
    <w:rsid w:val="00891002"/>
    <w:rsid w:val="00893257"/>
    <w:rsid w:val="00893955"/>
    <w:rsid w:val="008957FF"/>
    <w:rsid w:val="00896723"/>
    <w:rsid w:val="008A0869"/>
    <w:rsid w:val="008A0A87"/>
    <w:rsid w:val="008A1074"/>
    <w:rsid w:val="008A1F1F"/>
    <w:rsid w:val="008A2E97"/>
    <w:rsid w:val="008A2F22"/>
    <w:rsid w:val="008A5821"/>
    <w:rsid w:val="008A65EC"/>
    <w:rsid w:val="008A73E1"/>
    <w:rsid w:val="008B0154"/>
    <w:rsid w:val="008B191C"/>
    <w:rsid w:val="008B2322"/>
    <w:rsid w:val="008B2B6B"/>
    <w:rsid w:val="008B2D04"/>
    <w:rsid w:val="008B4735"/>
    <w:rsid w:val="008B4AA1"/>
    <w:rsid w:val="008B58EC"/>
    <w:rsid w:val="008B644D"/>
    <w:rsid w:val="008B68B9"/>
    <w:rsid w:val="008B7C51"/>
    <w:rsid w:val="008C0040"/>
    <w:rsid w:val="008C05EE"/>
    <w:rsid w:val="008C1125"/>
    <w:rsid w:val="008C137A"/>
    <w:rsid w:val="008C26D5"/>
    <w:rsid w:val="008C2767"/>
    <w:rsid w:val="008C4849"/>
    <w:rsid w:val="008C5155"/>
    <w:rsid w:val="008C5A61"/>
    <w:rsid w:val="008C5E6A"/>
    <w:rsid w:val="008C6561"/>
    <w:rsid w:val="008C7192"/>
    <w:rsid w:val="008D1AAC"/>
    <w:rsid w:val="008D211A"/>
    <w:rsid w:val="008D3696"/>
    <w:rsid w:val="008D422F"/>
    <w:rsid w:val="008D4740"/>
    <w:rsid w:val="008D5227"/>
    <w:rsid w:val="008D6DE1"/>
    <w:rsid w:val="008D6FCC"/>
    <w:rsid w:val="008D71AA"/>
    <w:rsid w:val="008D7F0A"/>
    <w:rsid w:val="008E0994"/>
    <w:rsid w:val="008E161E"/>
    <w:rsid w:val="008E4BC4"/>
    <w:rsid w:val="008E5389"/>
    <w:rsid w:val="008E5F89"/>
    <w:rsid w:val="008E73F1"/>
    <w:rsid w:val="008E7590"/>
    <w:rsid w:val="008E7F4C"/>
    <w:rsid w:val="008F1009"/>
    <w:rsid w:val="008F19DF"/>
    <w:rsid w:val="008F3538"/>
    <w:rsid w:val="008F3726"/>
    <w:rsid w:val="008F3FDD"/>
    <w:rsid w:val="008F476E"/>
    <w:rsid w:val="008F5D71"/>
    <w:rsid w:val="008F66D4"/>
    <w:rsid w:val="008F678A"/>
    <w:rsid w:val="00902163"/>
    <w:rsid w:val="00902389"/>
    <w:rsid w:val="00903861"/>
    <w:rsid w:val="00907931"/>
    <w:rsid w:val="00910315"/>
    <w:rsid w:val="0091114B"/>
    <w:rsid w:val="00911F9A"/>
    <w:rsid w:val="009142FD"/>
    <w:rsid w:val="0091752C"/>
    <w:rsid w:val="00917A53"/>
    <w:rsid w:val="0092366B"/>
    <w:rsid w:val="00924B4F"/>
    <w:rsid w:val="009250DD"/>
    <w:rsid w:val="009254E4"/>
    <w:rsid w:val="00926CFB"/>
    <w:rsid w:val="00927A29"/>
    <w:rsid w:val="00927BB3"/>
    <w:rsid w:val="00930765"/>
    <w:rsid w:val="00930D48"/>
    <w:rsid w:val="00930DA4"/>
    <w:rsid w:val="009316E8"/>
    <w:rsid w:val="00932815"/>
    <w:rsid w:val="00933225"/>
    <w:rsid w:val="00933278"/>
    <w:rsid w:val="00936784"/>
    <w:rsid w:val="0093797F"/>
    <w:rsid w:val="00937D33"/>
    <w:rsid w:val="00940CBC"/>
    <w:rsid w:val="00940E76"/>
    <w:rsid w:val="0094143C"/>
    <w:rsid w:val="00941AF9"/>
    <w:rsid w:val="00942374"/>
    <w:rsid w:val="00943568"/>
    <w:rsid w:val="00943624"/>
    <w:rsid w:val="00943827"/>
    <w:rsid w:val="00944796"/>
    <w:rsid w:val="00944844"/>
    <w:rsid w:val="00944A99"/>
    <w:rsid w:val="00946EA4"/>
    <w:rsid w:val="0094788A"/>
    <w:rsid w:val="00947C9E"/>
    <w:rsid w:val="009514F7"/>
    <w:rsid w:val="009520BE"/>
    <w:rsid w:val="009522DA"/>
    <w:rsid w:val="009550C9"/>
    <w:rsid w:val="00957311"/>
    <w:rsid w:val="00957CEA"/>
    <w:rsid w:val="0096098F"/>
    <w:rsid w:val="00961661"/>
    <w:rsid w:val="00961C05"/>
    <w:rsid w:val="00961F3E"/>
    <w:rsid w:val="00962DA7"/>
    <w:rsid w:val="009646A6"/>
    <w:rsid w:val="009649A2"/>
    <w:rsid w:val="009659B6"/>
    <w:rsid w:val="00966B65"/>
    <w:rsid w:val="009715F9"/>
    <w:rsid w:val="00971E02"/>
    <w:rsid w:val="00972555"/>
    <w:rsid w:val="009730F3"/>
    <w:rsid w:val="00974395"/>
    <w:rsid w:val="00974D88"/>
    <w:rsid w:val="00975255"/>
    <w:rsid w:val="00975284"/>
    <w:rsid w:val="009775FB"/>
    <w:rsid w:val="0098248B"/>
    <w:rsid w:val="0098306E"/>
    <w:rsid w:val="009832F1"/>
    <w:rsid w:val="00983F02"/>
    <w:rsid w:val="00983FE8"/>
    <w:rsid w:val="00984AE8"/>
    <w:rsid w:val="00984DD8"/>
    <w:rsid w:val="00984EFC"/>
    <w:rsid w:val="00985A06"/>
    <w:rsid w:val="00987730"/>
    <w:rsid w:val="00991ED8"/>
    <w:rsid w:val="009923CA"/>
    <w:rsid w:val="00992C91"/>
    <w:rsid w:val="0099352F"/>
    <w:rsid w:val="00994029"/>
    <w:rsid w:val="009940A4"/>
    <w:rsid w:val="0099551B"/>
    <w:rsid w:val="00997B8A"/>
    <w:rsid w:val="00997CC1"/>
    <w:rsid w:val="009A14C3"/>
    <w:rsid w:val="009A24EB"/>
    <w:rsid w:val="009A305A"/>
    <w:rsid w:val="009A3505"/>
    <w:rsid w:val="009A4986"/>
    <w:rsid w:val="009A50C0"/>
    <w:rsid w:val="009A5A5A"/>
    <w:rsid w:val="009A5DD6"/>
    <w:rsid w:val="009B095D"/>
    <w:rsid w:val="009B0DCB"/>
    <w:rsid w:val="009B10EB"/>
    <w:rsid w:val="009B28CF"/>
    <w:rsid w:val="009B302F"/>
    <w:rsid w:val="009B3D02"/>
    <w:rsid w:val="009B48EE"/>
    <w:rsid w:val="009B4D99"/>
    <w:rsid w:val="009B5257"/>
    <w:rsid w:val="009B5FD3"/>
    <w:rsid w:val="009B6036"/>
    <w:rsid w:val="009B708F"/>
    <w:rsid w:val="009B76CF"/>
    <w:rsid w:val="009C0748"/>
    <w:rsid w:val="009C1210"/>
    <w:rsid w:val="009C1C58"/>
    <w:rsid w:val="009C21A6"/>
    <w:rsid w:val="009C2750"/>
    <w:rsid w:val="009C28E3"/>
    <w:rsid w:val="009C535C"/>
    <w:rsid w:val="009C64A2"/>
    <w:rsid w:val="009C7CE2"/>
    <w:rsid w:val="009C7F48"/>
    <w:rsid w:val="009D000B"/>
    <w:rsid w:val="009D036D"/>
    <w:rsid w:val="009D0560"/>
    <w:rsid w:val="009D2D41"/>
    <w:rsid w:val="009D35F5"/>
    <w:rsid w:val="009D411B"/>
    <w:rsid w:val="009D4206"/>
    <w:rsid w:val="009D53AC"/>
    <w:rsid w:val="009D5C85"/>
    <w:rsid w:val="009D5FC2"/>
    <w:rsid w:val="009D6960"/>
    <w:rsid w:val="009D7C3E"/>
    <w:rsid w:val="009E0159"/>
    <w:rsid w:val="009E038A"/>
    <w:rsid w:val="009E19B8"/>
    <w:rsid w:val="009E2682"/>
    <w:rsid w:val="009E3249"/>
    <w:rsid w:val="009E40C4"/>
    <w:rsid w:val="009E4B30"/>
    <w:rsid w:val="009E4B5B"/>
    <w:rsid w:val="009E5268"/>
    <w:rsid w:val="009E7AC9"/>
    <w:rsid w:val="009E7B1A"/>
    <w:rsid w:val="009F0528"/>
    <w:rsid w:val="009F0832"/>
    <w:rsid w:val="009F1413"/>
    <w:rsid w:val="009F1AB3"/>
    <w:rsid w:val="009F1CB4"/>
    <w:rsid w:val="009F1E5D"/>
    <w:rsid w:val="009F2B86"/>
    <w:rsid w:val="009F2DF0"/>
    <w:rsid w:val="009F3701"/>
    <w:rsid w:val="009F4A1F"/>
    <w:rsid w:val="009F537F"/>
    <w:rsid w:val="009F5D97"/>
    <w:rsid w:val="009F6140"/>
    <w:rsid w:val="009F627A"/>
    <w:rsid w:val="009F6623"/>
    <w:rsid w:val="009F7C47"/>
    <w:rsid w:val="00A00385"/>
    <w:rsid w:val="00A01788"/>
    <w:rsid w:val="00A03258"/>
    <w:rsid w:val="00A03617"/>
    <w:rsid w:val="00A04C06"/>
    <w:rsid w:val="00A05C96"/>
    <w:rsid w:val="00A07405"/>
    <w:rsid w:val="00A11BBC"/>
    <w:rsid w:val="00A12394"/>
    <w:rsid w:val="00A13007"/>
    <w:rsid w:val="00A13F5B"/>
    <w:rsid w:val="00A15799"/>
    <w:rsid w:val="00A1670E"/>
    <w:rsid w:val="00A171D3"/>
    <w:rsid w:val="00A17C7B"/>
    <w:rsid w:val="00A20479"/>
    <w:rsid w:val="00A20DF4"/>
    <w:rsid w:val="00A21DA2"/>
    <w:rsid w:val="00A23470"/>
    <w:rsid w:val="00A23692"/>
    <w:rsid w:val="00A236AB"/>
    <w:rsid w:val="00A23CC4"/>
    <w:rsid w:val="00A2597F"/>
    <w:rsid w:val="00A265EB"/>
    <w:rsid w:val="00A26602"/>
    <w:rsid w:val="00A26D94"/>
    <w:rsid w:val="00A26E59"/>
    <w:rsid w:val="00A2755B"/>
    <w:rsid w:val="00A2768F"/>
    <w:rsid w:val="00A2790D"/>
    <w:rsid w:val="00A33AE2"/>
    <w:rsid w:val="00A33C74"/>
    <w:rsid w:val="00A3679E"/>
    <w:rsid w:val="00A36BC7"/>
    <w:rsid w:val="00A41EAC"/>
    <w:rsid w:val="00A42149"/>
    <w:rsid w:val="00A43D95"/>
    <w:rsid w:val="00A44F14"/>
    <w:rsid w:val="00A45221"/>
    <w:rsid w:val="00A45238"/>
    <w:rsid w:val="00A47314"/>
    <w:rsid w:val="00A47796"/>
    <w:rsid w:val="00A50A9D"/>
    <w:rsid w:val="00A51733"/>
    <w:rsid w:val="00A51C86"/>
    <w:rsid w:val="00A52324"/>
    <w:rsid w:val="00A5345B"/>
    <w:rsid w:val="00A53588"/>
    <w:rsid w:val="00A535A0"/>
    <w:rsid w:val="00A55022"/>
    <w:rsid w:val="00A5638F"/>
    <w:rsid w:val="00A6054C"/>
    <w:rsid w:val="00A605AB"/>
    <w:rsid w:val="00A631F6"/>
    <w:rsid w:val="00A63BD1"/>
    <w:rsid w:val="00A6412C"/>
    <w:rsid w:val="00A643F4"/>
    <w:rsid w:val="00A6479A"/>
    <w:rsid w:val="00A64E77"/>
    <w:rsid w:val="00A64F3D"/>
    <w:rsid w:val="00A65E15"/>
    <w:rsid w:val="00A66CED"/>
    <w:rsid w:val="00A67732"/>
    <w:rsid w:val="00A67F00"/>
    <w:rsid w:val="00A70A3F"/>
    <w:rsid w:val="00A710FF"/>
    <w:rsid w:val="00A723B9"/>
    <w:rsid w:val="00A737BB"/>
    <w:rsid w:val="00A748AB"/>
    <w:rsid w:val="00A7546F"/>
    <w:rsid w:val="00A75804"/>
    <w:rsid w:val="00A76150"/>
    <w:rsid w:val="00A76EE6"/>
    <w:rsid w:val="00A76F91"/>
    <w:rsid w:val="00A77C10"/>
    <w:rsid w:val="00A802BE"/>
    <w:rsid w:val="00A804B1"/>
    <w:rsid w:val="00A804E0"/>
    <w:rsid w:val="00A806CE"/>
    <w:rsid w:val="00A81215"/>
    <w:rsid w:val="00A8130D"/>
    <w:rsid w:val="00A8175B"/>
    <w:rsid w:val="00A817F8"/>
    <w:rsid w:val="00A81992"/>
    <w:rsid w:val="00A822AB"/>
    <w:rsid w:val="00A8259B"/>
    <w:rsid w:val="00A8313C"/>
    <w:rsid w:val="00A833C9"/>
    <w:rsid w:val="00A854FF"/>
    <w:rsid w:val="00A90A18"/>
    <w:rsid w:val="00A91D7C"/>
    <w:rsid w:val="00A94103"/>
    <w:rsid w:val="00A947E0"/>
    <w:rsid w:val="00A94948"/>
    <w:rsid w:val="00A94E99"/>
    <w:rsid w:val="00A953F1"/>
    <w:rsid w:val="00A96CCF"/>
    <w:rsid w:val="00A9739A"/>
    <w:rsid w:val="00A979B9"/>
    <w:rsid w:val="00AA01A2"/>
    <w:rsid w:val="00AA02EE"/>
    <w:rsid w:val="00AA052F"/>
    <w:rsid w:val="00AA06AA"/>
    <w:rsid w:val="00AA0CCD"/>
    <w:rsid w:val="00AA2248"/>
    <w:rsid w:val="00AA256B"/>
    <w:rsid w:val="00AA277E"/>
    <w:rsid w:val="00AA2D20"/>
    <w:rsid w:val="00AA3F45"/>
    <w:rsid w:val="00AA448E"/>
    <w:rsid w:val="00AA4E99"/>
    <w:rsid w:val="00AA5265"/>
    <w:rsid w:val="00AA5E53"/>
    <w:rsid w:val="00AA5F35"/>
    <w:rsid w:val="00AA7448"/>
    <w:rsid w:val="00AA744C"/>
    <w:rsid w:val="00AA7854"/>
    <w:rsid w:val="00AB042B"/>
    <w:rsid w:val="00AB06F8"/>
    <w:rsid w:val="00AB1422"/>
    <w:rsid w:val="00AB1732"/>
    <w:rsid w:val="00AB1A9E"/>
    <w:rsid w:val="00AB1C14"/>
    <w:rsid w:val="00AB1C39"/>
    <w:rsid w:val="00AB377A"/>
    <w:rsid w:val="00AB42C6"/>
    <w:rsid w:val="00AB4830"/>
    <w:rsid w:val="00AB5305"/>
    <w:rsid w:val="00AB54E6"/>
    <w:rsid w:val="00AB65C0"/>
    <w:rsid w:val="00AB6FAF"/>
    <w:rsid w:val="00AB70E0"/>
    <w:rsid w:val="00AB739D"/>
    <w:rsid w:val="00AB796C"/>
    <w:rsid w:val="00AB7B52"/>
    <w:rsid w:val="00AC035D"/>
    <w:rsid w:val="00AC07E4"/>
    <w:rsid w:val="00AC0C79"/>
    <w:rsid w:val="00AC1804"/>
    <w:rsid w:val="00AC19BA"/>
    <w:rsid w:val="00AC21F4"/>
    <w:rsid w:val="00AC22D0"/>
    <w:rsid w:val="00AC2A7C"/>
    <w:rsid w:val="00AC2CB1"/>
    <w:rsid w:val="00AC3F6F"/>
    <w:rsid w:val="00AC4021"/>
    <w:rsid w:val="00AC4E38"/>
    <w:rsid w:val="00AC5A44"/>
    <w:rsid w:val="00AC5D3D"/>
    <w:rsid w:val="00AC609D"/>
    <w:rsid w:val="00AC60BA"/>
    <w:rsid w:val="00AC6195"/>
    <w:rsid w:val="00AC6A6C"/>
    <w:rsid w:val="00AC708D"/>
    <w:rsid w:val="00AC733B"/>
    <w:rsid w:val="00AC76F2"/>
    <w:rsid w:val="00AC77AD"/>
    <w:rsid w:val="00AC7A4F"/>
    <w:rsid w:val="00AD04D0"/>
    <w:rsid w:val="00AD0AF5"/>
    <w:rsid w:val="00AD0F0C"/>
    <w:rsid w:val="00AD28E9"/>
    <w:rsid w:val="00AD31F1"/>
    <w:rsid w:val="00AD35D5"/>
    <w:rsid w:val="00AE051F"/>
    <w:rsid w:val="00AE0C32"/>
    <w:rsid w:val="00AE2D09"/>
    <w:rsid w:val="00AE2DCD"/>
    <w:rsid w:val="00AE304B"/>
    <w:rsid w:val="00AE43E2"/>
    <w:rsid w:val="00AE50DB"/>
    <w:rsid w:val="00AE522C"/>
    <w:rsid w:val="00AE52D8"/>
    <w:rsid w:val="00AE690E"/>
    <w:rsid w:val="00AE7E98"/>
    <w:rsid w:val="00AF07C9"/>
    <w:rsid w:val="00AF0E22"/>
    <w:rsid w:val="00AF3F8B"/>
    <w:rsid w:val="00AF5C64"/>
    <w:rsid w:val="00AF5DA3"/>
    <w:rsid w:val="00AF6319"/>
    <w:rsid w:val="00AF64F0"/>
    <w:rsid w:val="00AF66CC"/>
    <w:rsid w:val="00AF69D7"/>
    <w:rsid w:val="00B0005E"/>
    <w:rsid w:val="00B0093E"/>
    <w:rsid w:val="00B04E16"/>
    <w:rsid w:val="00B0564A"/>
    <w:rsid w:val="00B06ED2"/>
    <w:rsid w:val="00B06F3C"/>
    <w:rsid w:val="00B07442"/>
    <w:rsid w:val="00B10350"/>
    <w:rsid w:val="00B109BB"/>
    <w:rsid w:val="00B11882"/>
    <w:rsid w:val="00B129F0"/>
    <w:rsid w:val="00B1359F"/>
    <w:rsid w:val="00B15A8C"/>
    <w:rsid w:val="00B162FF"/>
    <w:rsid w:val="00B16D89"/>
    <w:rsid w:val="00B171DE"/>
    <w:rsid w:val="00B21CCC"/>
    <w:rsid w:val="00B2202E"/>
    <w:rsid w:val="00B235F5"/>
    <w:rsid w:val="00B23C74"/>
    <w:rsid w:val="00B251B8"/>
    <w:rsid w:val="00B25486"/>
    <w:rsid w:val="00B26417"/>
    <w:rsid w:val="00B26852"/>
    <w:rsid w:val="00B26DDA"/>
    <w:rsid w:val="00B27E68"/>
    <w:rsid w:val="00B306B8"/>
    <w:rsid w:val="00B306D8"/>
    <w:rsid w:val="00B30FA7"/>
    <w:rsid w:val="00B32CBE"/>
    <w:rsid w:val="00B33A6F"/>
    <w:rsid w:val="00B33BA3"/>
    <w:rsid w:val="00B35358"/>
    <w:rsid w:val="00B3552A"/>
    <w:rsid w:val="00B35566"/>
    <w:rsid w:val="00B3647C"/>
    <w:rsid w:val="00B37F80"/>
    <w:rsid w:val="00B40529"/>
    <w:rsid w:val="00B4136B"/>
    <w:rsid w:val="00B41BC7"/>
    <w:rsid w:val="00B41EAC"/>
    <w:rsid w:val="00B4295B"/>
    <w:rsid w:val="00B42BF3"/>
    <w:rsid w:val="00B43032"/>
    <w:rsid w:val="00B43703"/>
    <w:rsid w:val="00B43E5A"/>
    <w:rsid w:val="00B44452"/>
    <w:rsid w:val="00B44D72"/>
    <w:rsid w:val="00B450F9"/>
    <w:rsid w:val="00B451F8"/>
    <w:rsid w:val="00B460AF"/>
    <w:rsid w:val="00B4693F"/>
    <w:rsid w:val="00B51556"/>
    <w:rsid w:val="00B5200A"/>
    <w:rsid w:val="00B5288E"/>
    <w:rsid w:val="00B52A63"/>
    <w:rsid w:val="00B536A4"/>
    <w:rsid w:val="00B5468B"/>
    <w:rsid w:val="00B552D5"/>
    <w:rsid w:val="00B5534A"/>
    <w:rsid w:val="00B55555"/>
    <w:rsid w:val="00B55FAF"/>
    <w:rsid w:val="00B560F3"/>
    <w:rsid w:val="00B56440"/>
    <w:rsid w:val="00B56BA3"/>
    <w:rsid w:val="00B60C70"/>
    <w:rsid w:val="00B60D32"/>
    <w:rsid w:val="00B624A3"/>
    <w:rsid w:val="00B62785"/>
    <w:rsid w:val="00B6314C"/>
    <w:rsid w:val="00B63679"/>
    <w:rsid w:val="00B63BC2"/>
    <w:rsid w:val="00B64E91"/>
    <w:rsid w:val="00B6532A"/>
    <w:rsid w:val="00B65856"/>
    <w:rsid w:val="00B65D82"/>
    <w:rsid w:val="00B65FA9"/>
    <w:rsid w:val="00B66346"/>
    <w:rsid w:val="00B67477"/>
    <w:rsid w:val="00B67E8D"/>
    <w:rsid w:val="00B7018F"/>
    <w:rsid w:val="00B70D1C"/>
    <w:rsid w:val="00B7116D"/>
    <w:rsid w:val="00B7153B"/>
    <w:rsid w:val="00B7217F"/>
    <w:rsid w:val="00B72B86"/>
    <w:rsid w:val="00B72D92"/>
    <w:rsid w:val="00B72EAD"/>
    <w:rsid w:val="00B74CF5"/>
    <w:rsid w:val="00B766BC"/>
    <w:rsid w:val="00B76946"/>
    <w:rsid w:val="00B779BE"/>
    <w:rsid w:val="00B779FD"/>
    <w:rsid w:val="00B77C26"/>
    <w:rsid w:val="00B801B5"/>
    <w:rsid w:val="00B807BE"/>
    <w:rsid w:val="00B816D9"/>
    <w:rsid w:val="00B81C41"/>
    <w:rsid w:val="00B8293B"/>
    <w:rsid w:val="00B82CBE"/>
    <w:rsid w:val="00B82DCC"/>
    <w:rsid w:val="00B8430F"/>
    <w:rsid w:val="00B8533A"/>
    <w:rsid w:val="00B8631D"/>
    <w:rsid w:val="00B86B6D"/>
    <w:rsid w:val="00B87CDB"/>
    <w:rsid w:val="00B930EA"/>
    <w:rsid w:val="00B93D2B"/>
    <w:rsid w:val="00B94180"/>
    <w:rsid w:val="00B943C3"/>
    <w:rsid w:val="00B948C3"/>
    <w:rsid w:val="00B94B25"/>
    <w:rsid w:val="00B952A6"/>
    <w:rsid w:val="00B967F7"/>
    <w:rsid w:val="00B96B35"/>
    <w:rsid w:val="00B96FEB"/>
    <w:rsid w:val="00BA0445"/>
    <w:rsid w:val="00BA0CC2"/>
    <w:rsid w:val="00BA17E0"/>
    <w:rsid w:val="00BA1999"/>
    <w:rsid w:val="00BA1C40"/>
    <w:rsid w:val="00BA4D7B"/>
    <w:rsid w:val="00BA4F39"/>
    <w:rsid w:val="00BA552A"/>
    <w:rsid w:val="00BA6724"/>
    <w:rsid w:val="00BB001C"/>
    <w:rsid w:val="00BB01D4"/>
    <w:rsid w:val="00BB0904"/>
    <w:rsid w:val="00BB35F3"/>
    <w:rsid w:val="00BB4325"/>
    <w:rsid w:val="00BB6982"/>
    <w:rsid w:val="00BB698A"/>
    <w:rsid w:val="00BC0597"/>
    <w:rsid w:val="00BC0E14"/>
    <w:rsid w:val="00BC129E"/>
    <w:rsid w:val="00BC1A4D"/>
    <w:rsid w:val="00BC1C6C"/>
    <w:rsid w:val="00BC3869"/>
    <w:rsid w:val="00BC4561"/>
    <w:rsid w:val="00BC4931"/>
    <w:rsid w:val="00BC52F7"/>
    <w:rsid w:val="00BC570C"/>
    <w:rsid w:val="00BC6705"/>
    <w:rsid w:val="00BC68BC"/>
    <w:rsid w:val="00BC6B21"/>
    <w:rsid w:val="00BC6EDF"/>
    <w:rsid w:val="00BC7583"/>
    <w:rsid w:val="00BD0277"/>
    <w:rsid w:val="00BD146A"/>
    <w:rsid w:val="00BD258B"/>
    <w:rsid w:val="00BD2B9B"/>
    <w:rsid w:val="00BD2FA8"/>
    <w:rsid w:val="00BD3E1E"/>
    <w:rsid w:val="00BD48E9"/>
    <w:rsid w:val="00BD491F"/>
    <w:rsid w:val="00BD50E8"/>
    <w:rsid w:val="00BD5191"/>
    <w:rsid w:val="00BD6E2A"/>
    <w:rsid w:val="00BD70A6"/>
    <w:rsid w:val="00BD71CD"/>
    <w:rsid w:val="00BE11EB"/>
    <w:rsid w:val="00BE1ABE"/>
    <w:rsid w:val="00BE3445"/>
    <w:rsid w:val="00BE4156"/>
    <w:rsid w:val="00BE48BC"/>
    <w:rsid w:val="00BE50D7"/>
    <w:rsid w:val="00BE63F6"/>
    <w:rsid w:val="00BE7DBE"/>
    <w:rsid w:val="00BF0438"/>
    <w:rsid w:val="00BF09C8"/>
    <w:rsid w:val="00BF15C5"/>
    <w:rsid w:val="00BF1B58"/>
    <w:rsid w:val="00BF222C"/>
    <w:rsid w:val="00BF2802"/>
    <w:rsid w:val="00BF3F20"/>
    <w:rsid w:val="00BF46AB"/>
    <w:rsid w:val="00BF4EA4"/>
    <w:rsid w:val="00BF57F5"/>
    <w:rsid w:val="00BF6771"/>
    <w:rsid w:val="00C00990"/>
    <w:rsid w:val="00C015B6"/>
    <w:rsid w:val="00C01A63"/>
    <w:rsid w:val="00C02048"/>
    <w:rsid w:val="00C02AB0"/>
    <w:rsid w:val="00C060C5"/>
    <w:rsid w:val="00C0668B"/>
    <w:rsid w:val="00C06753"/>
    <w:rsid w:val="00C10260"/>
    <w:rsid w:val="00C1299B"/>
    <w:rsid w:val="00C12B55"/>
    <w:rsid w:val="00C13542"/>
    <w:rsid w:val="00C14726"/>
    <w:rsid w:val="00C14BAA"/>
    <w:rsid w:val="00C1664A"/>
    <w:rsid w:val="00C16C78"/>
    <w:rsid w:val="00C1746A"/>
    <w:rsid w:val="00C20BF2"/>
    <w:rsid w:val="00C216B0"/>
    <w:rsid w:val="00C21917"/>
    <w:rsid w:val="00C2230C"/>
    <w:rsid w:val="00C22F05"/>
    <w:rsid w:val="00C234F6"/>
    <w:rsid w:val="00C23B6F"/>
    <w:rsid w:val="00C242ED"/>
    <w:rsid w:val="00C24BAA"/>
    <w:rsid w:val="00C24F6E"/>
    <w:rsid w:val="00C25432"/>
    <w:rsid w:val="00C279A1"/>
    <w:rsid w:val="00C3009B"/>
    <w:rsid w:val="00C3053D"/>
    <w:rsid w:val="00C30C1D"/>
    <w:rsid w:val="00C31246"/>
    <w:rsid w:val="00C31E71"/>
    <w:rsid w:val="00C33F8E"/>
    <w:rsid w:val="00C347E5"/>
    <w:rsid w:val="00C35C19"/>
    <w:rsid w:val="00C36A76"/>
    <w:rsid w:val="00C37944"/>
    <w:rsid w:val="00C379C0"/>
    <w:rsid w:val="00C37A59"/>
    <w:rsid w:val="00C415FB"/>
    <w:rsid w:val="00C42256"/>
    <w:rsid w:val="00C4267E"/>
    <w:rsid w:val="00C4423F"/>
    <w:rsid w:val="00C444DF"/>
    <w:rsid w:val="00C44EF7"/>
    <w:rsid w:val="00C45A13"/>
    <w:rsid w:val="00C45FDD"/>
    <w:rsid w:val="00C461B0"/>
    <w:rsid w:val="00C46BD0"/>
    <w:rsid w:val="00C46BF6"/>
    <w:rsid w:val="00C47560"/>
    <w:rsid w:val="00C477A3"/>
    <w:rsid w:val="00C47825"/>
    <w:rsid w:val="00C50087"/>
    <w:rsid w:val="00C507C4"/>
    <w:rsid w:val="00C5148E"/>
    <w:rsid w:val="00C52A34"/>
    <w:rsid w:val="00C532E8"/>
    <w:rsid w:val="00C54067"/>
    <w:rsid w:val="00C558C6"/>
    <w:rsid w:val="00C558EC"/>
    <w:rsid w:val="00C56EF8"/>
    <w:rsid w:val="00C57082"/>
    <w:rsid w:val="00C60765"/>
    <w:rsid w:val="00C618BB"/>
    <w:rsid w:val="00C62A2D"/>
    <w:rsid w:val="00C639D8"/>
    <w:rsid w:val="00C63C0C"/>
    <w:rsid w:val="00C63EF1"/>
    <w:rsid w:val="00C64474"/>
    <w:rsid w:val="00C649E7"/>
    <w:rsid w:val="00C64B19"/>
    <w:rsid w:val="00C65CB8"/>
    <w:rsid w:val="00C664CE"/>
    <w:rsid w:val="00C7087E"/>
    <w:rsid w:val="00C70918"/>
    <w:rsid w:val="00C7113F"/>
    <w:rsid w:val="00C7413E"/>
    <w:rsid w:val="00C7577F"/>
    <w:rsid w:val="00C75C07"/>
    <w:rsid w:val="00C7799A"/>
    <w:rsid w:val="00C77A1A"/>
    <w:rsid w:val="00C77FB7"/>
    <w:rsid w:val="00C80085"/>
    <w:rsid w:val="00C8111A"/>
    <w:rsid w:val="00C83083"/>
    <w:rsid w:val="00C83B16"/>
    <w:rsid w:val="00C84275"/>
    <w:rsid w:val="00C846AE"/>
    <w:rsid w:val="00C870EA"/>
    <w:rsid w:val="00C909A4"/>
    <w:rsid w:val="00C915DC"/>
    <w:rsid w:val="00C91900"/>
    <w:rsid w:val="00C91FFA"/>
    <w:rsid w:val="00C92803"/>
    <w:rsid w:val="00C92DD1"/>
    <w:rsid w:val="00C9335B"/>
    <w:rsid w:val="00C95085"/>
    <w:rsid w:val="00C95DC9"/>
    <w:rsid w:val="00C96334"/>
    <w:rsid w:val="00C977FC"/>
    <w:rsid w:val="00C97AF1"/>
    <w:rsid w:val="00CA0B44"/>
    <w:rsid w:val="00CA294B"/>
    <w:rsid w:val="00CA34AF"/>
    <w:rsid w:val="00CA373D"/>
    <w:rsid w:val="00CA5D40"/>
    <w:rsid w:val="00CA6091"/>
    <w:rsid w:val="00CA6E58"/>
    <w:rsid w:val="00CA7CFB"/>
    <w:rsid w:val="00CB0085"/>
    <w:rsid w:val="00CB04CE"/>
    <w:rsid w:val="00CB0FDF"/>
    <w:rsid w:val="00CB1654"/>
    <w:rsid w:val="00CB18D2"/>
    <w:rsid w:val="00CB2B36"/>
    <w:rsid w:val="00CB2B83"/>
    <w:rsid w:val="00CB3CA7"/>
    <w:rsid w:val="00CB4B17"/>
    <w:rsid w:val="00CB4C99"/>
    <w:rsid w:val="00CB5336"/>
    <w:rsid w:val="00CB5B01"/>
    <w:rsid w:val="00CB6315"/>
    <w:rsid w:val="00CB7041"/>
    <w:rsid w:val="00CC0425"/>
    <w:rsid w:val="00CC1C0F"/>
    <w:rsid w:val="00CC2C89"/>
    <w:rsid w:val="00CC563A"/>
    <w:rsid w:val="00CC71BB"/>
    <w:rsid w:val="00CC71D2"/>
    <w:rsid w:val="00CC7C27"/>
    <w:rsid w:val="00CD0AFB"/>
    <w:rsid w:val="00CD16BE"/>
    <w:rsid w:val="00CD2022"/>
    <w:rsid w:val="00CD357C"/>
    <w:rsid w:val="00CD4526"/>
    <w:rsid w:val="00CD5119"/>
    <w:rsid w:val="00CD62D1"/>
    <w:rsid w:val="00CD6BAC"/>
    <w:rsid w:val="00CD6DE6"/>
    <w:rsid w:val="00CD7ACD"/>
    <w:rsid w:val="00CE0479"/>
    <w:rsid w:val="00CE07A8"/>
    <w:rsid w:val="00CE24EC"/>
    <w:rsid w:val="00CE2D89"/>
    <w:rsid w:val="00CE31B3"/>
    <w:rsid w:val="00CE39ED"/>
    <w:rsid w:val="00CE3BDE"/>
    <w:rsid w:val="00CE420F"/>
    <w:rsid w:val="00CE5E5F"/>
    <w:rsid w:val="00CE622F"/>
    <w:rsid w:val="00CE6BB5"/>
    <w:rsid w:val="00CE78B3"/>
    <w:rsid w:val="00CE7BE3"/>
    <w:rsid w:val="00CF0407"/>
    <w:rsid w:val="00CF1E99"/>
    <w:rsid w:val="00CF24AD"/>
    <w:rsid w:val="00CF4053"/>
    <w:rsid w:val="00CF4D2D"/>
    <w:rsid w:val="00CF4F3A"/>
    <w:rsid w:val="00CF5456"/>
    <w:rsid w:val="00CF578A"/>
    <w:rsid w:val="00CF755D"/>
    <w:rsid w:val="00D0093B"/>
    <w:rsid w:val="00D01EAC"/>
    <w:rsid w:val="00D022E8"/>
    <w:rsid w:val="00D04859"/>
    <w:rsid w:val="00D0696A"/>
    <w:rsid w:val="00D0715D"/>
    <w:rsid w:val="00D07785"/>
    <w:rsid w:val="00D07836"/>
    <w:rsid w:val="00D07DC0"/>
    <w:rsid w:val="00D11B0D"/>
    <w:rsid w:val="00D11CF4"/>
    <w:rsid w:val="00D13C38"/>
    <w:rsid w:val="00D14BAA"/>
    <w:rsid w:val="00D14E9B"/>
    <w:rsid w:val="00D15658"/>
    <w:rsid w:val="00D16E61"/>
    <w:rsid w:val="00D16F54"/>
    <w:rsid w:val="00D177CD"/>
    <w:rsid w:val="00D17E06"/>
    <w:rsid w:val="00D206FA"/>
    <w:rsid w:val="00D214B3"/>
    <w:rsid w:val="00D244C4"/>
    <w:rsid w:val="00D24E75"/>
    <w:rsid w:val="00D25737"/>
    <w:rsid w:val="00D25769"/>
    <w:rsid w:val="00D25DB8"/>
    <w:rsid w:val="00D26908"/>
    <w:rsid w:val="00D27F75"/>
    <w:rsid w:val="00D32A27"/>
    <w:rsid w:val="00D33051"/>
    <w:rsid w:val="00D3732E"/>
    <w:rsid w:val="00D379E2"/>
    <w:rsid w:val="00D402D4"/>
    <w:rsid w:val="00D409B9"/>
    <w:rsid w:val="00D41ADE"/>
    <w:rsid w:val="00D41D63"/>
    <w:rsid w:val="00D420FE"/>
    <w:rsid w:val="00D42A3A"/>
    <w:rsid w:val="00D43231"/>
    <w:rsid w:val="00D440EF"/>
    <w:rsid w:val="00D44AA7"/>
    <w:rsid w:val="00D46162"/>
    <w:rsid w:val="00D47068"/>
    <w:rsid w:val="00D50CF4"/>
    <w:rsid w:val="00D52034"/>
    <w:rsid w:val="00D52662"/>
    <w:rsid w:val="00D52BEF"/>
    <w:rsid w:val="00D52F35"/>
    <w:rsid w:val="00D538BC"/>
    <w:rsid w:val="00D55286"/>
    <w:rsid w:val="00D5659D"/>
    <w:rsid w:val="00D569AE"/>
    <w:rsid w:val="00D56D79"/>
    <w:rsid w:val="00D5703D"/>
    <w:rsid w:val="00D611A8"/>
    <w:rsid w:val="00D62114"/>
    <w:rsid w:val="00D62E6C"/>
    <w:rsid w:val="00D6444E"/>
    <w:rsid w:val="00D64CF2"/>
    <w:rsid w:val="00D67142"/>
    <w:rsid w:val="00D67DA1"/>
    <w:rsid w:val="00D71D6F"/>
    <w:rsid w:val="00D72D6B"/>
    <w:rsid w:val="00D746E2"/>
    <w:rsid w:val="00D749EC"/>
    <w:rsid w:val="00D74D26"/>
    <w:rsid w:val="00D74E8F"/>
    <w:rsid w:val="00D76013"/>
    <w:rsid w:val="00D76AA9"/>
    <w:rsid w:val="00D807C9"/>
    <w:rsid w:val="00D82EB5"/>
    <w:rsid w:val="00D8330F"/>
    <w:rsid w:val="00D83598"/>
    <w:rsid w:val="00D83AE3"/>
    <w:rsid w:val="00D840FE"/>
    <w:rsid w:val="00D846FB"/>
    <w:rsid w:val="00D84928"/>
    <w:rsid w:val="00D859C1"/>
    <w:rsid w:val="00D87435"/>
    <w:rsid w:val="00D8797C"/>
    <w:rsid w:val="00D87EEA"/>
    <w:rsid w:val="00D918AF"/>
    <w:rsid w:val="00D92B31"/>
    <w:rsid w:val="00D92CC5"/>
    <w:rsid w:val="00D93442"/>
    <w:rsid w:val="00D93A98"/>
    <w:rsid w:val="00D947A1"/>
    <w:rsid w:val="00D954EF"/>
    <w:rsid w:val="00D95AA7"/>
    <w:rsid w:val="00D95CF2"/>
    <w:rsid w:val="00D96A07"/>
    <w:rsid w:val="00DA022C"/>
    <w:rsid w:val="00DA046B"/>
    <w:rsid w:val="00DA2A89"/>
    <w:rsid w:val="00DA3A9F"/>
    <w:rsid w:val="00DA3EE6"/>
    <w:rsid w:val="00DA3F1F"/>
    <w:rsid w:val="00DA4741"/>
    <w:rsid w:val="00DA6061"/>
    <w:rsid w:val="00DA63CD"/>
    <w:rsid w:val="00DA68E9"/>
    <w:rsid w:val="00DA6FC2"/>
    <w:rsid w:val="00DB27D8"/>
    <w:rsid w:val="00DB2858"/>
    <w:rsid w:val="00DB4D6E"/>
    <w:rsid w:val="00DB54C6"/>
    <w:rsid w:val="00DB5676"/>
    <w:rsid w:val="00DB5952"/>
    <w:rsid w:val="00DB6830"/>
    <w:rsid w:val="00DB6CDF"/>
    <w:rsid w:val="00DB7463"/>
    <w:rsid w:val="00DB7657"/>
    <w:rsid w:val="00DB7BDF"/>
    <w:rsid w:val="00DC0556"/>
    <w:rsid w:val="00DC117C"/>
    <w:rsid w:val="00DC1BEE"/>
    <w:rsid w:val="00DC1D71"/>
    <w:rsid w:val="00DC300C"/>
    <w:rsid w:val="00DC37A9"/>
    <w:rsid w:val="00DC5513"/>
    <w:rsid w:val="00DC653A"/>
    <w:rsid w:val="00DC6FB9"/>
    <w:rsid w:val="00DC7B15"/>
    <w:rsid w:val="00DD1A01"/>
    <w:rsid w:val="00DD1C0C"/>
    <w:rsid w:val="00DD2102"/>
    <w:rsid w:val="00DD284A"/>
    <w:rsid w:val="00DD3080"/>
    <w:rsid w:val="00DD373A"/>
    <w:rsid w:val="00DD417D"/>
    <w:rsid w:val="00DD4B0C"/>
    <w:rsid w:val="00DD50D4"/>
    <w:rsid w:val="00DD6622"/>
    <w:rsid w:val="00DD7B97"/>
    <w:rsid w:val="00DE0FF4"/>
    <w:rsid w:val="00DE2F92"/>
    <w:rsid w:val="00DE3E30"/>
    <w:rsid w:val="00DE491B"/>
    <w:rsid w:val="00DE5261"/>
    <w:rsid w:val="00DE5828"/>
    <w:rsid w:val="00DE63C7"/>
    <w:rsid w:val="00DE7153"/>
    <w:rsid w:val="00DE7E2E"/>
    <w:rsid w:val="00DF19AB"/>
    <w:rsid w:val="00DF1E94"/>
    <w:rsid w:val="00DF3706"/>
    <w:rsid w:val="00DF3830"/>
    <w:rsid w:val="00DF472D"/>
    <w:rsid w:val="00DF487E"/>
    <w:rsid w:val="00DF7EEF"/>
    <w:rsid w:val="00E008E6"/>
    <w:rsid w:val="00E016F1"/>
    <w:rsid w:val="00E01B6B"/>
    <w:rsid w:val="00E0227C"/>
    <w:rsid w:val="00E026B0"/>
    <w:rsid w:val="00E029F2"/>
    <w:rsid w:val="00E042D6"/>
    <w:rsid w:val="00E049B4"/>
    <w:rsid w:val="00E05848"/>
    <w:rsid w:val="00E0787E"/>
    <w:rsid w:val="00E12BF1"/>
    <w:rsid w:val="00E12CAA"/>
    <w:rsid w:val="00E12D31"/>
    <w:rsid w:val="00E135D1"/>
    <w:rsid w:val="00E13F94"/>
    <w:rsid w:val="00E140C6"/>
    <w:rsid w:val="00E14748"/>
    <w:rsid w:val="00E14B26"/>
    <w:rsid w:val="00E15C23"/>
    <w:rsid w:val="00E17E03"/>
    <w:rsid w:val="00E2124B"/>
    <w:rsid w:val="00E21668"/>
    <w:rsid w:val="00E23317"/>
    <w:rsid w:val="00E2475B"/>
    <w:rsid w:val="00E248C6"/>
    <w:rsid w:val="00E26730"/>
    <w:rsid w:val="00E3097A"/>
    <w:rsid w:val="00E30BF3"/>
    <w:rsid w:val="00E31206"/>
    <w:rsid w:val="00E31226"/>
    <w:rsid w:val="00E315F5"/>
    <w:rsid w:val="00E3220D"/>
    <w:rsid w:val="00E32475"/>
    <w:rsid w:val="00E32BE1"/>
    <w:rsid w:val="00E35787"/>
    <w:rsid w:val="00E3621E"/>
    <w:rsid w:val="00E36C46"/>
    <w:rsid w:val="00E36CF2"/>
    <w:rsid w:val="00E377FA"/>
    <w:rsid w:val="00E40A19"/>
    <w:rsid w:val="00E41083"/>
    <w:rsid w:val="00E41C8C"/>
    <w:rsid w:val="00E429D4"/>
    <w:rsid w:val="00E42FD1"/>
    <w:rsid w:val="00E43ACC"/>
    <w:rsid w:val="00E43DF8"/>
    <w:rsid w:val="00E4418E"/>
    <w:rsid w:val="00E449D0"/>
    <w:rsid w:val="00E44A2A"/>
    <w:rsid w:val="00E45439"/>
    <w:rsid w:val="00E45A9B"/>
    <w:rsid w:val="00E46400"/>
    <w:rsid w:val="00E47464"/>
    <w:rsid w:val="00E47D6B"/>
    <w:rsid w:val="00E50D15"/>
    <w:rsid w:val="00E5112A"/>
    <w:rsid w:val="00E51613"/>
    <w:rsid w:val="00E5191C"/>
    <w:rsid w:val="00E547E8"/>
    <w:rsid w:val="00E54917"/>
    <w:rsid w:val="00E54BCE"/>
    <w:rsid w:val="00E552C5"/>
    <w:rsid w:val="00E55AA0"/>
    <w:rsid w:val="00E57729"/>
    <w:rsid w:val="00E6014E"/>
    <w:rsid w:val="00E605CE"/>
    <w:rsid w:val="00E606C1"/>
    <w:rsid w:val="00E609C2"/>
    <w:rsid w:val="00E60B8C"/>
    <w:rsid w:val="00E621FF"/>
    <w:rsid w:val="00E638A8"/>
    <w:rsid w:val="00E63914"/>
    <w:rsid w:val="00E64C28"/>
    <w:rsid w:val="00E66940"/>
    <w:rsid w:val="00E700E0"/>
    <w:rsid w:val="00E70AFF"/>
    <w:rsid w:val="00E71868"/>
    <w:rsid w:val="00E7332A"/>
    <w:rsid w:val="00E75CD0"/>
    <w:rsid w:val="00E75D08"/>
    <w:rsid w:val="00E77B9A"/>
    <w:rsid w:val="00E8008A"/>
    <w:rsid w:val="00E8026A"/>
    <w:rsid w:val="00E812F2"/>
    <w:rsid w:val="00E813C8"/>
    <w:rsid w:val="00E8165C"/>
    <w:rsid w:val="00E81A18"/>
    <w:rsid w:val="00E82D77"/>
    <w:rsid w:val="00E82E13"/>
    <w:rsid w:val="00E8458C"/>
    <w:rsid w:val="00E8565A"/>
    <w:rsid w:val="00E86006"/>
    <w:rsid w:val="00E861AA"/>
    <w:rsid w:val="00E86437"/>
    <w:rsid w:val="00E86EB4"/>
    <w:rsid w:val="00E8766E"/>
    <w:rsid w:val="00E87C91"/>
    <w:rsid w:val="00E90A4A"/>
    <w:rsid w:val="00E90C8E"/>
    <w:rsid w:val="00E91740"/>
    <w:rsid w:val="00E92805"/>
    <w:rsid w:val="00E93F90"/>
    <w:rsid w:val="00E94368"/>
    <w:rsid w:val="00E94A25"/>
    <w:rsid w:val="00E97946"/>
    <w:rsid w:val="00EA4C4D"/>
    <w:rsid w:val="00EA55B5"/>
    <w:rsid w:val="00EA62C9"/>
    <w:rsid w:val="00EA66F7"/>
    <w:rsid w:val="00EA68E1"/>
    <w:rsid w:val="00EB116A"/>
    <w:rsid w:val="00EB2371"/>
    <w:rsid w:val="00EB3CE9"/>
    <w:rsid w:val="00EB44DA"/>
    <w:rsid w:val="00EB460F"/>
    <w:rsid w:val="00EB4B28"/>
    <w:rsid w:val="00EB572E"/>
    <w:rsid w:val="00EB6217"/>
    <w:rsid w:val="00EC0FBA"/>
    <w:rsid w:val="00EC2AE1"/>
    <w:rsid w:val="00EC2BEB"/>
    <w:rsid w:val="00EC2D3C"/>
    <w:rsid w:val="00EC3D4D"/>
    <w:rsid w:val="00EC46BF"/>
    <w:rsid w:val="00EC48BF"/>
    <w:rsid w:val="00EC4A27"/>
    <w:rsid w:val="00EC5422"/>
    <w:rsid w:val="00EC54B8"/>
    <w:rsid w:val="00EC558E"/>
    <w:rsid w:val="00EC64F9"/>
    <w:rsid w:val="00EC6749"/>
    <w:rsid w:val="00EC68E9"/>
    <w:rsid w:val="00ED222C"/>
    <w:rsid w:val="00ED2337"/>
    <w:rsid w:val="00ED5765"/>
    <w:rsid w:val="00ED5F7C"/>
    <w:rsid w:val="00ED60D2"/>
    <w:rsid w:val="00ED7817"/>
    <w:rsid w:val="00ED7DAB"/>
    <w:rsid w:val="00EE08DE"/>
    <w:rsid w:val="00EE26D9"/>
    <w:rsid w:val="00EE2A80"/>
    <w:rsid w:val="00EE2D6C"/>
    <w:rsid w:val="00EE2ED1"/>
    <w:rsid w:val="00EE509A"/>
    <w:rsid w:val="00EE667E"/>
    <w:rsid w:val="00EE691D"/>
    <w:rsid w:val="00EE712B"/>
    <w:rsid w:val="00EF0DB3"/>
    <w:rsid w:val="00EF172B"/>
    <w:rsid w:val="00EF2830"/>
    <w:rsid w:val="00EF38A6"/>
    <w:rsid w:val="00EF3D01"/>
    <w:rsid w:val="00EF4726"/>
    <w:rsid w:val="00EF5699"/>
    <w:rsid w:val="00EF62B2"/>
    <w:rsid w:val="00EF68EF"/>
    <w:rsid w:val="00EF72F0"/>
    <w:rsid w:val="00EF77DB"/>
    <w:rsid w:val="00EF7ACB"/>
    <w:rsid w:val="00F0075C"/>
    <w:rsid w:val="00F0114C"/>
    <w:rsid w:val="00F01404"/>
    <w:rsid w:val="00F026A9"/>
    <w:rsid w:val="00F02E5F"/>
    <w:rsid w:val="00F0356C"/>
    <w:rsid w:val="00F03ADF"/>
    <w:rsid w:val="00F044B1"/>
    <w:rsid w:val="00F04CCD"/>
    <w:rsid w:val="00F04DBA"/>
    <w:rsid w:val="00F05DFC"/>
    <w:rsid w:val="00F06133"/>
    <w:rsid w:val="00F06DB5"/>
    <w:rsid w:val="00F06E82"/>
    <w:rsid w:val="00F0707A"/>
    <w:rsid w:val="00F072B5"/>
    <w:rsid w:val="00F075E1"/>
    <w:rsid w:val="00F118C1"/>
    <w:rsid w:val="00F13A26"/>
    <w:rsid w:val="00F13E7A"/>
    <w:rsid w:val="00F141DA"/>
    <w:rsid w:val="00F14A37"/>
    <w:rsid w:val="00F15438"/>
    <w:rsid w:val="00F15AC9"/>
    <w:rsid w:val="00F15AD7"/>
    <w:rsid w:val="00F15D78"/>
    <w:rsid w:val="00F16320"/>
    <w:rsid w:val="00F214E5"/>
    <w:rsid w:val="00F217A8"/>
    <w:rsid w:val="00F219F5"/>
    <w:rsid w:val="00F21B8E"/>
    <w:rsid w:val="00F22A78"/>
    <w:rsid w:val="00F22C0B"/>
    <w:rsid w:val="00F22C82"/>
    <w:rsid w:val="00F23A97"/>
    <w:rsid w:val="00F2418B"/>
    <w:rsid w:val="00F24BB7"/>
    <w:rsid w:val="00F2543E"/>
    <w:rsid w:val="00F30963"/>
    <w:rsid w:val="00F31955"/>
    <w:rsid w:val="00F32640"/>
    <w:rsid w:val="00F33653"/>
    <w:rsid w:val="00F34F7F"/>
    <w:rsid w:val="00F355C7"/>
    <w:rsid w:val="00F36A58"/>
    <w:rsid w:val="00F41E25"/>
    <w:rsid w:val="00F41E9D"/>
    <w:rsid w:val="00F42147"/>
    <w:rsid w:val="00F44234"/>
    <w:rsid w:val="00F45055"/>
    <w:rsid w:val="00F466AB"/>
    <w:rsid w:val="00F46ABE"/>
    <w:rsid w:val="00F46E5D"/>
    <w:rsid w:val="00F4779B"/>
    <w:rsid w:val="00F501BD"/>
    <w:rsid w:val="00F50BF0"/>
    <w:rsid w:val="00F51562"/>
    <w:rsid w:val="00F51936"/>
    <w:rsid w:val="00F5207F"/>
    <w:rsid w:val="00F5234A"/>
    <w:rsid w:val="00F547FF"/>
    <w:rsid w:val="00F54CDD"/>
    <w:rsid w:val="00F5521F"/>
    <w:rsid w:val="00F56312"/>
    <w:rsid w:val="00F57C43"/>
    <w:rsid w:val="00F57DF0"/>
    <w:rsid w:val="00F57E2B"/>
    <w:rsid w:val="00F62045"/>
    <w:rsid w:val="00F623E4"/>
    <w:rsid w:val="00F63454"/>
    <w:rsid w:val="00F644BD"/>
    <w:rsid w:val="00F64EFF"/>
    <w:rsid w:val="00F6579E"/>
    <w:rsid w:val="00F668ED"/>
    <w:rsid w:val="00F70437"/>
    <w:rsid w:val="00F71AC5"/>
    <w:rsid w:val="00F726AD"/>
    <w:rsid w:val="00F73D0F"/>
    <w:rsid w:val="00F73FE1"/>
    <w:rsid w:val="00F74B00"/>
    <w:rsid w:val="00F74EF8"/>
    <w:rsid w:val="00F752F0"/>
    <w:rsid w:val="00F75D56"/>
    <w:rsid w:val="00F761B6"/>
    <w:rsid w:val="00F76748"/>
    <w:rsid w:val="00F77892"/>
    <w:rsid w:val="00F800C8"/>
    <w:rsid w:val="00F80237"/>
    <w:rsid w:val="00F81332"/>
    <w:rsid w:val="00F824B4"/>
    <w:rsid w:val="00F827D1"/>
    <w:rsid w:val="00F82B1F"/>
    <w:rsid w:val="00F82B73"/>
    <w:rsid w:val="00F82DB3"/>
    <w:rsid w:val="00F83E8B"/>
    <w:rsid w:val="00F85161"/>
    <w:rsid w:val="00F876E2"/>
    <w:rsid w:val="00F90D35"/>
    <w:rsid w:val="00F9107F"/>
    <w:rsid w:val="00F910BF"/>
    <w:rsid w:val="00F9127A"/>
    <w:rsid w:val="00F91F6D"/>
    <w:rsid w:val="00F91FA9"/>
    <w:rsid w:val="00F9601D"/>
    <w:rsid w:val="00F963A5"/>
    <w:rsid w:val="00F96D92"/>
    <w:rsid w:val="00F96DC5"/>
    <w:rsid w:val="00F97246"/>
    <w:rsid w:val="00F97CF9"/>
    <w:rsid w:val="00FA0432"/>
    <w:rsid w:val="00FA0456"/>
    <w:rsid w:val="00FA0C2B"/>
    <w:rsid w:val="00FA0D9A"/>
    <w:rsid w:val="00FA1207"/>
    <w:rsid w:val="00FA16C6"/>
    <w:rsid w:val="00FA1BA0"/>
    <w:rsid w:val="00FA2A1A"/>
    <w:rsid w:val="00FA2C6E"/>
    <w:rsid w:val="00FA5107"/>
    <w:rsid w:val="00FA5476"/>
    <w:rsid w:val="00FA59CC"/>
    <w:rsid w:val="00FA6599"/>
    <w:rsid w:val="00FA6A7B"/>
    <w:rsid w:val="00FA77B3"/>
    <w:rsid w:val="00FB106B"/>
    <w:rsid w:val="00FB12EE"/>
    <w:rsid w:val="00FB16F4"/>
    <w:rsid w:val="00FB31F8"/>
    <w:rsid w:val="00FB4F79"/>
    <w:rsid w:val="00FB640C"/>
    <w:rsid w:val="00FB7527"/>
    <w:rsid w:val="00FC0103"/>
    <w:rsid w:val="00FC19D6"/>
    <w:rsid w:val="00FC1AA6"/>
    <w:rsid w:val="00FC2715"/>
    <w:rsid w:val="00FC2F8E"/>
    <w:rsid w:val="00FC32A3"/>
    <w:rsid w:val="00FC4B76"/>
    <w:rsid w:val="00FC6821"/>
    <w:rsid w:val="00FC71F3"/>
    <w:rsid w:val="00FC7381"/>
    <w:rsid w:val="00FD213F"/>
    <w:rsid w:val="00FD3D37"/>
    <w:rsid w:val="00FD3E5B"/>
    <w:rsid w:val="00FD4DE7"/>
    <w:rsid w:val="00FD5565"/>
    <w:rsid w:val="00FD5B87"/>
    <w:rsid w:val="00FD5FCA"/>
    <w:rsid w:val="00FD6DC7"/>
    <w:rsid w:val="00FD70EC"/>
    <w:rsid w:val="00FD7565"/>
    <w:rsid w:val="00FD75C0"/>
    <w:rsid w:val="00FE0492"/>
    <w:rsid w:val="00FE0726"/>
    <w:rsid w:val="00FE1525"/>
    <w:rsid w:val="00FE16D9"/>
    <w:rsid w:val="00FE17A5"/>
    <w:rsid w:val="00FE19DC"/>
    <w:rsid w:val="00FE227E"/>
    <w:rsid w:val="00FE35B9"/>
    <w:rsid w:val="00FE3666"/>
    <w:rsid w:val="00FE3EA9"/>
    <w:rsid w:val="00FE469E"/>
    <w:rsid w:val="00FE4D1D"/>
    <w:rsid w:val="00FE5FEB"/>
    <w:rsid w:val="00FE6184"/>
    <w:rsid w:val="00FE6DBB"/>
    <w:rsid w:val="00FE73EB"/>
    <w:rsid w:val="00FE741E"/>
    <w:rsid w:val="00FE7DCA"/>
    <w:rsid w:val="00FF1668"/>
    <w:rsid w:val="00FF2345"/>
    <w:rsid w:val="00FF2362"/>
    <w:rsid w:val="00FF26F3"/>
    <w:rsid w:val="00FF4F77"/>
    <w:rsid w:val="00FF57BE"/>
    <w:rsid w:val="00FF5B56"/>
    <w:rsid w:val="00FF62E9"/>
    <w:rsid w:val="00FF6E25"/>
    <w:rsid w:val="00FF6FCB"/>
    <w:rsid w:val="00FF740C"/>
    <w:rsid w:val="00FF78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FC33F7"/>
  <w15:chartTrackingRefBased/>
  <w15:docId w15:val="{39FC45A9-298A-4FA4-B0DA-F657A78E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9"/>
    <w:rPr>
      <w:sz w:val="24"/>
      <w:szCs w:val="24"/>
    </w:rPr>
  </w:style>
  <w:style w:type="paragraph" w:styleId="Balk1">
    <w:name w:val="heading 1"/>
    <w:basedOn w:val="Normal"/>
    <w:next w:val="Normal"/>
    <w:qFormat/>
    <w:rsid w:val="00A265EB"/>
    <w:pPr>
      <w:keepNext/>
      <w:jc w:val="center"/>
      <w:outlineLvl w:val="0"/>
    </w:pPr>
    <w:rPr>
      <w:b/>
    </w:rPr>
  </w:style>
  <w:style w:type="paragraph" w:styleId="Balk2">
    <w:name w:val="heading 2"/>
    <w:basedOn w:val="Normal"/>
    <w:next w:val="Normal"/>
    <w:qFormat/>
    <w:rsid w:val="002F5BB3"/>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3478BE"/>
    <w:pPr>
      <w:keepNext/>
      <w:spacing w:before="240" w:after="60"/>
      <w:outlineLvl w:val="2"/>
    </w:pPr>
    <w:rPr>
      <w:rFonts w:ascii="Arial" w:hAnsi="Arial" w:cs="Arial"/>
      <w:b/>
      <w:bCs/>
      <w:sz w:val="26"/>
      <w:szCs w:val="26"/>
    </w:rPr>
  </w:style>
  <w:style w:type="paragraph" w:styleId="Balk4">
    <w:name w:val="heading 4"/>
    <w:basedOn w:val="Normal"/>
    <w:next w:val="Normal"/>
    <w:qFormat/>
    <w:rsid w:val="002F5BB3"/>
    <w:pPr>
      <w:keepNext/>
      <w:spacing w:before="240" w:after="60"/>
      <w:outlineLvl w:val="3"/>
    </w:pPr>
    <w:rPr>
      <w:b/>
      <w:bCs/>
      <w:sz w:val="28"/>
      <w:szCs w:val="28"/>
    </w:rPr>
  </w:style>
  <w:style w:type="paragraph" w:styleId="Balk5">
    <w:name w:val="heading 5"/>
    <w:basedOn w:val="Normal"/>
    <w:next w:val="Normal"/>
    <w:qFormat/>
    <w:rsid w:val="002F5BB3"/>
    <w:pPr>
      <w:spacing w:before="240" w:after="60"/>
      <w:outlineLvl w:val="4"/>
    </w:pPr>
    <w:rPr>
      <w:b/>
      <w:bCs/>
      <w:i/>
      <w:iCs/>
      <w:sz w:val="26"/>
      <w:szCs w:val="26"/>
    </w:rPr>
  </w:style>
  <w:style w:type="paragraph" w:styleId="Balk6">
    <w:name w:val="heading 6"/>
    <w:basedOn w:val="Normal"/>
    <w:next w:val="Normal"/>
    <w:qFormat/>
    <w:rsid w:val="00A265EB"/>
    <w:pPr>
      <w:keepNext/>
      <w:ind w:firstLine="708"/>
      <w:jc w:val="both"/>
      <w:outlineLvl w:val="5"/>
    </w:pPr>
    <w:rPr>
      <w:b/>
    </w:rPr>
  </w:style>
  <w:style w:type="paragraph" w:styleId="Balk9">
    <w:name w:val="heading 9"/>
    <w:basedOn w:val="Normal"/>
    <w:next w:val="Normal"/>
    <w:qFormat/>
    <w:rsid w:val="00F22A78"/>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rsid w:val="00A265EB"/>
    <w:pPr>
      <w:tabs>
        <w:tab w:val="center" w:pos="4536"/>
        <w:tab w:val="right" w:pos="9072"/>
      </w:tabs>
    </w:pPr>
  </w:style>
  <w:style w:type="paragraph" w:customStyle="1" w:styleId="Altbilgi">
    <w:name w:val="Altbilgi"/>
    <w:basedOn w:val="Normal"/>
    <w:link w:val="AltBilgiChar"/>
    <w:uiPriority w:val="99"/>
    <w:rsid w:val="00A265EB"/>
    <w:pPr>
      <w:tabs>
        <w:tab w:val="center" w:pos="4536"/>
        <w:tab w:val="right" w:pos="9072"/>
      </w:tabs>
    </w:pPr>
  </w:style>
  <w:style w:type="character" w:styleId="Gl">
    <w:name w:val="Strong"/>
    <w:qFormat/>
    <w:rsid w:val="00525B35"/>
    <w:rPr>
      <w:b/>
      <w:bCs/>
    </w:rPr>
  </w:style>
  <w:style w:type="character" w:styleId="SayfaNumaras">
    <w:name w:val="page number"/>
    <w:basedOn w:val="VarsaylanParagrafYazTipi"/>
    <w:rsid w:val="00BA552A"/>
  </w:style>
  <w:style w:type="paragraph" w:styleId="DipnotMetni">
    <w:name w:val="footnote text"/>
    <w:basedOn w:val="Normal"/>
    <w:semiHidden/>
    <w:rsid w:val="00DC117C"/>
    <w:rPr>
      <w:sz w:val="20"/>
      <w:szCs w:val="20"/>
    </w:rPr>
  </w:style>
  <w:style w:type="character" w:styleId="DipnotBavurusu">
    <w:name w:val="footnote reference"/>
    <w:semiHidden/>
    <w:rsid w:val="00DC117C"/>
    <w:rPr>
      <w:vertAlign w:val="superscript"/>
    </w:rPr>
  </w:style>
  <w:style w:type="character" w:styleId="Kpr">
    <w:name w:val="Hyperlink"/>
    <w:uiPriority w:val="99"/>
    <w:rsid w:val="00575C9C"/>
    <w:rPr>
      <w:color w:val="0000FF"/>
      <w:u w:val="single"/>
    </w:rPr>
  </w:style>
  <w:style w:type="paragraph" w:styleId="GvdeMetniGirintisi">
    <w:name w:val="Body Text Indent"/>
    <w:basedOn w:val="Normal"/>
    <w:rsid w:val="00A535A0"/>
    <w:pPr>
      <w:ind w:firstLine="708"/>
      <w:jc w:val="both"/>
    </w:pPr>
    <w:rPr>
      <w:lang w:eastAsia="en-US"/>
    </w:rPr>
  </w:style>
  <w:style w:type="character" w:customStyle="1" w:styleId="spelle">
    <w:name w:val="spelle"/>
    <w:basedOn w:val="VarsaylanParagrafYazTipi"/>
    <w:rsid w:val="00CD357C"/>
  </w:style>
  <w:style w:type="character" w:customStyle="1" w:styleId="grame">
    <w:name w:val="grame"/>
    <w:basedOn w:val="VarsaylanParagrafYazTipi"/>
    <w:rsid w:val="00CD357C"/>
  </w:style>
  <w:style w:type="character" w:customStyle="1" w:styleId="apple-style-span">
    <w:name w:val="apple-style-span"/>
    <w:basedOn w:val="VarsaylanParagrafYazTipi"/>
    <w:rsid w:val="007E3154"/>
  </w:style>
  <w:style w:type="paragraph" w:customStyle="1" w:styleId="12">
    <w:name w:val="12"/>
    <w:basedOn w:val="Normal"/>
    <w:rsid w:val="007E3154"/>
    <w:pPr>
      <w:ind w:firstLine="708"/>
      <w:jc w:val="both"/>
    </w:pPr>
    <w:rPr>
      <w:sz w:val="23"/>
      <w:szCs w:val="23"/>
    </w:rPr>
  </w:style>
  <w:style w:type="paragraph" w:styleId="NormalWeb">
    <w:name w:val="Normal (Web)"/>
    <w:basedOn w:val="Normal"/>
    <w:uiPriority w:val="99"/>
    <w:rsid w:val="00470EF1"/>
    <w:pPr>
      <w:spacing w:before="100" w:beforeAutospacing="1" w:after="100" w:afterAutospacing="1"/>
    </w:pPr>
    <w:rPr>
      <w:color w:val="000000"/>
    </w:rPr>
  </w:style>
  <w:style w:type="paragraph" w:styleId="GvdeMetni3">
    <w:name w:val="Body Text 3"/>
    <w:basedOn w:val="Normal"/>
    <w:rsid w:val="00D74E8F"/>
    <w:pPr>
      <w:spacing w:after="120"/>
    </w:pPr>
    <w:rPr>
      <w:sz w:val="16"/>
      <w:szCs w:val="16"/>
      <w:lang w:eastAsia="en-US"/>
    </w:rPr>
  </w:style>
  <w:style w:type="paragraph" w:styleId="BalonMetni">
    <w:name w:val="Balloon Text"/>
    <w:basedOn w:val="Normal"/>
    <w:semiHidden/>
    <w:rsid w:val="006D3C7D"/>
    <w:rPr>
      <w:rFonts w:ascii="Tahoma" w:hAnsi="Tahoma" w:cs="Tahoma"/>
      <w:sz w:val="16"/>
      <w:szCs w:val="16"/>
    </w:rPr>
  </w:style>
  <w:style w:type="paragraph" w:styleId="T1">
    <w:name w:val="toc 1"/>
    <w:basedOn w:val="Normal"/>
    <w:next w:val="Normal"/>
    <w:autoRedefine/>
    <w:semiHidden/>
    <w:rsid w:val="00035547"/>
    <w:pPr>
      <w:spacing w:before="120" w:after="120"/>
    </w:pPr>
    <w:rPr>
      <w:b/>
      <w:bCs/>
      <w:caps/>
      <w:sz w:val="20"/>
      <w:szCs w:val="20"/>
    </w:rPr>
  </w:style>
  <w:style w:type="paragraph" w:styleId="T2">
    <w:name w:val="toc 2"/>
    <w:basedOn w:val="Normal"/>
    <w:next w:val="Normal"/>
    <w:autoRedefine/>
    <w:semiHidden/>
    <w:rsid w:val="00035547"/>
    <w:pPr>
      <w:ind w:left="240"/>
    </w:pPr>
    <w:rPr>
      <w:smallCaps/>
      <w:sz w:val="20"/>
      <w:szCs w:val="20"/>
    </w:rPr>
  </w:style>
  <w:style w:type="paragraph" w:styleId="T3">
    <w:name w:val="toc 3"/>
    <w:basedOn w:val="Normal"/>
    <w:next w:val="Normal"/>
    <w:autoRedefine/>
    <w:semiHidden/>
    <w:rsid w:val="00035547"/>
    <w:pPr>
      <w:ind w:left="480"/>
    </w:pPr>
    <w:rPr>
      <w:i/>
      <w:iCs/>
      <w:sz w:val="20"/>
      <w:szCs w:val="20"/>
    </w:rPr>
  </w:style>
  <w:style w:type="paragraph" w:styleId="T4">
    <w:name w:val="toc 4"/>
    <w:basedOn w:val="Normal"/>
    <w:next w:val="Normal"/>
    <w:autoRedefine/>
    <w:semiHidden/>
    <w:rsid w:val="00035547"/>
    <w:pPr>
      <w:ind w:left="720"/>
    </w:pPr>
    <w:rPr>
      <w:sz w:val="18"/>
      <w:szCs w:val="18"/>
    </w:rPr>
  </w:style>
  <w:style w:type="paragraph" w:styleId="T5">
    <w:name w:val="toc 5"/>
    <w:basedOn w:val="Normal"/>
    <w:next w:val="Normal"/>
    <w:autoRedefine/>
    <w:semiHidden/>
    <w:rsid w:val="00035547"/>
    <w:pPr>
      <w:ind w:left="960"/>
    </w:pPr>
    <w:rPr>
      <w:sz w:val="18"/>
      <w:szCs w:val="18"/>
    </w:rPr>
  </w:style>
  <w:style w:type="paragraph" w:styleId="T6">
    <w:name w:val="toc 6"/>
    <w:basedOn w:val="Normal"/>
    <w:next w:val="Normal"/>
    <w:autoRedefine/>
    <w:semiHidden/>
    <w:rsid w:val="00035547"/>
    <w:pPr>
      <w:ind w:left="1200"/>
    </w:pPr>
    <w:rPr>
      <w:sz w:val="18"/>
      <w:szCs w:val="18"/>
    </w:rPr>
  </w:style>
  <w:style w:type="paragraph" w:styleId="T7">
    <w:name w:val="toc 7"/>
    <w:basedOn w:val="Normal"/>
    <w:next w:val="Normal"/>
    <w:autoRedefine/>
    <w:semiHidden/>
    <w:rsid w:val="00035547"/>
    <w:pPr>
      <w:ind w:left="1440"/>
    </w:pPr>
    <w:rPr>
      <w:sz w:val="18"/>
      <w:szCs w:val="18"/>
    </w:rPr>
  </w:style>
  <w:style w:type="paragraph" w:styleId="T8">
    <w:name w:val="toc 8"/>
    <w:basedOn w:val="Normal"/>
    <w:next w:val="Normal"/>
    <w:autoRedefine/>
    <w:semiHidden/>
    <w:rsid w:val="00035547"/>
    <w:pPr>
      <w:ind w:left="1680"/>
    </w:pPr>
    <w:rPr>
      <w:sz w:val="18"/>
      <w:szCs w:val="18"/>
    </w:rPr>
  </w:style>
  <w:style w:type="paragraph" w:styleId="T9">
    <w:name w:val="toc 9"/>
    <w:basedOn w:val="Normal"/>
    <w:next w:val="Normal"/>
    <w:autoRedefine/>
    <w:semiHidden/>
    <w:rsid w:val="00035547"/>
    <w:pPr>
      <w:ind w:left="1920"/>
    </w:pPr>
    <w:rPr>
      <w:sz w:val="18"/>
      <w:szCs w:val="18"/>
    </w:rPr>
  </w:style>
  <w:style w:type="table" w:styleId="TabloKlavuzu">
    <w:name w:val="Table Grid"/>
    <w:basedOn w:val="NormalTablo"/>
    <w:rsid w:val="00FE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96B35"/>
    <w:pPr>
      <w:ind w:left="708"/>
    </w:pPr>
  </w:style>
  <w:style w:type="paragraph" w:customStyle="1" w:styleId="3-normalyaz">
    <w:name w:val="3-normalyaz"/>
    <w:basedOn w:val="Normal"/>
    <w:rsid w:val="00D409B9"/>
    <w:pPr>
      <w:spacing w:before="100" w:beforeAutospacing="1" w:after="100" w:afterAutospacing="1"/>
    </w:pPr>
  </w:style>
  <w:style w:type="character" w:customStyle="1" w:styleId="apple-converted-space">
    <w:name w:val="apple-converted-space"/>
    <w:rsid w:val="00D409B9"/>
  </w:style>
  <w:style w:type="paragraph" w:customStyle="1" w:styleId="3-NormalYaz0">
    <w:name w:val="3-Normal Yazı"/>
    <w:rsid w:val="000931D6"/>
    <w:pPr>
      <w:tabs>
        <w:tab w:val="left" w:pos="566"/>
      </w:tabs>
      <w:jc w:val="both"/>
    </w:pPr>
    <w:rPr>
      <w:rFonts w:eastAsia="ヒラギノ明朝Pro W3" w:hAnsi="Times"/>
      <w:sz w:val="19"/>
      <w:lang w:eastAsia="en-US"/>
    </w:rPr>
  </w:style>
  <w:style w:type="paragraph" w:customStyle="1" w:styleId="Default">
    <w:name w:val="Default"/>
    <w:rsid w:val="00EC6749"/>
    <w:pPr>
      <w:autoSpaceDE w:val="0"/>
      <w:autoSpaceDN w:val="0"/>
      <w:adjustRightInd w:val="0"/>
    </w:pPr>
    <w:rPr>
      <w:rFonts w:eastAsia="Calibri"/>
      <w:color w:val="000000"/>
      <w:sz w:val="24"/>
      <w:szCs w:val="24"/>
      <w:lang w:eastAsia="en-US"/>
    </w:rPr>
  </w:style>
  <w:style w:type="character" w:customStyle="1" w:styleId="AltBilgiChar">
    <w:name w:val="Alt Bilgi Char"/>
    <w:link w:val="Altbilgi"/>
    <w:uiPriority w:val="99"/>
    <w:rsid w:val="004050F0"/>
    <w:rPr>
      <w:sz w:val="24"/>
      <w:szCs w:val="24"/>
    </w:rPr>
  </w:style>
  <w:style w:type="character" w:styleId="YerTutucuMetni">
    <w:name w:val="Placeholder Text"/>
    <w:uiPriority w:val="99"/>
    <w:semiHidden/>
    <w:rsid w:val="006878F6"/>
    <w:rPr>
      <w:color w:val="808080"/>
    </w:rPr>
  </w:style>
  <w:style w:type="character" w:styleId="zlenenKpr">
    <w:name w:val="FollowedHyperlink"/>
    <w:uiPriority w:val="99"/>
    <w:unhideWhenUsed/>
    <w:rsid w:val="00E97946"/>
    <w:rPr>
      <w:color w:val="800080"/>
      <w:u w:val="single"/>
    </w:rPr>
  </w:style>
  <w:style w:type="paragraph" w:customStyle="1" w:styleId="msonormal0">
    <w:name w:val="msonormal"/>
    <w:basedOn w:val="Normal"/>
    <w:rsid w:val="00E97946"/>
    <w:pPr>
      <w:spacing w:before="100" w:beforeAutospacing="1" w:after="100" w:afterAutospacing="1"/>
    </w:pPr>
  </w:style>
  <w:style w:type="paragraph" w:customStyle="1" w:styleId="xl65">
    <w:name w:val="xl65"/>
    <w:basedOn w:val="Normal"/>
    <w:rsid w:val="00E97946"/>
    <w:pPr>
      <w:pBdr>
        <w:top w:val="single" w:sz="4" w:space="0" w:color="FFFFFF"/>
        <w:left w:val="single" w:sz="4" w:space="0" w:color="FFFFFF"/>
      </w:pBdr>
      <w:spacing w:before="100" w:beforeAutospacing="1" w:after="100" w:afterAutospacing="1"/>
      <w:textAlignment w:val="top"/>
    </w:pPr>
  </w:style>
  <w:style w:type="paragraph" w:customStyle="1" w:styleId="xl66">
    <w:name w:val="xl66"/>
    <w:basedOn w:val="Normal"/>
    <w:rsid w:val="00E979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Normal"/>
    <w:rsid w:val="00E97946"/>
    <w:pPr>
      <w:pBdr>
        <w:top w:val="single" w:sz="4" w:space="0" w:color="979991"/>
        <w:left w:val="single" w:sz="4" w:space="0" w:color="979991"/>
      </w:pBdr>
      <w:spacing w:before="100" w:beforeAutospacing="1" w:after="100" w:afterAutospacing="1"/>
      <w:textAlignment w:val="top"/>
    </w:pPr>
    <w:rPr>
      <w:sz w:val="16"/>
      <w:szCs w:val="16"/>
    </w:rPr>
  </w:style>
  <w:style w:type="paragraph" w:customStyle="1" w:styleId="xl68">
    <w:name w:val="xl68"/>
    <w:basedOn w:val="Normal"/>
    <w:rsid w:val="00E979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Normal"/>
    <w:rsid w:val="00E9794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70">
    <w:name w:val="xl70"/>
    <w:basedOn w:val="Normal"/>
    <w:rsid w:val="00E97946"/>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b/>
      <w:bCs/>
      <w:sz w:val="16"/>
      <w:szCs w:val="16"/>
    </w:rPr>
  </w:style>
  <w:style w:type="paragraph" w:customStyle="1" w:styleId="xl71">
    <w:name w:val="xl71"/>
    <w:basedOn w:val="Normal"/>
    <w:rsid w:val="00E979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2">
    <w:name w:val="xl72"/>
    <w:basedOn w:val="Normal"/>
    <w:rsid w:val="00E9794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sz w:val="16"/>
      <w:szCs w:val="16"/>
    </w:rPr>
  </w:style>
  <w:style w:type="character" w:customStyle="1" w:styleId="stBilgiChar">
    <w:name w:val="Üst Bilgi Char"/>
    <w:link w:val="stbilgi"/>
    <w:rsid w:val="00067156"/>
    <w:rPr>
      <w:sz w:val="24"/>
      <w:szCs w:val="24"/>
    </w:rPr>
  </w:style>
  <w:style w:type="paragraph" w:styleId="GvdeMetni">
    <w:name w:val="Body Text"/>
    <w:basedOn w:val="Normal"/>
    <w:link w:val="GvdeMetniChar"/>
    <w:rsid w:val="004F1CA4"/>
    <w:pPr>
      <w:spacing w:after="120"/>
    </w:pPr>
  </w:style>
  <w:style w:type="character" w:customStyle="1" w:styleId="GvdeMetniChar">
    <w:name w:val="Gövde Metni Char"/>
    <w:link w:val="GvdeMetni"/>
    <w:rsid w:val="004F1CA4"/>
    <w:rPr>
      <w:sz w:val="24"/>
      <w:szCs w:val="24"/>
    </w:rPr>
  </w:style>
  <w:style w:type="paragraph" w:styleId="ResimYazs">
    <w:name w:val="caption"/>
    <w:basedOn w:val="Normal"/>
    <w:next w:val="Normal"/>
    <w:unhideWhenUsed/>
    <w:qFormat/>
    <w:rsid w:val="002E285E"/>
    <w:pPr>
      <w:spacing w:after="200"/>
    </w:pPr>
    <w:rPr>
      <w:i/>
      <w:iCs/>
      <w:color w:val="44546A" w:themeColor="text2"/>
      <w:sz w:val="18"/>
      <w:szCs w:val="18"/>
    </w:rPr>
  </w:style>
  <w:style w:type="paragraph" w:styleId="stBilgi0">
    <w:name w:val="header"/>
    <w:basedOn w:val="Normal"/>
    <w:link w:val="stBilgiChar1"/>
    <w:rsid w:val="00F96DC5"/>
    <w:pPr>
      <w:tabs>
        <w:tab w:val="center" w:pos="4536"/>
        <w:tab w:val="right" w:pos="9072"/>
      </w:tabs>
    </w:pPr>
  </w:style>
  <w:style w:type="character" w:customStyle="1" w:styleId="stBilgiChar1">
    <w:name w:val="Üst Bilgi Char1"/>
    <w:basedOn w:val="VarsaylanParagrafYazTipi"/>
    <w:link w:val="stBilgi0"/>
    <w:rsid w:val="00F96DC5"/>
    <w:rPr>
      <w:sz w:val="24"/>
      <w:szCs w:val="24"/>
    </w:rPr>
  </w:style>
  <w:style w:type="paragraph" w:styleId="AltBilgi0">
    <w:name w:val="footer"/>
    <w:basedOn w:val="Normal"/>
    <w:link w:val="AltBilgiChar1"/>
    <w:uiPriority w:val="99"/>
    <w:rsid w:val="00F96DC5"/>
    <w:pPr>
      <w:tabs>
        <w:tab w:val="center" w:pos="4536"/>
        <w:tab w:val="right" w:pos="9072"/>
      </w:tabs>
    </w:pPr>
  </w:style>
  <w:style w:type="character" w:customStyle="1" w:styleId="AltBilgiChar1">
    <w:name w:val="Alt Bilgi Char1"/>
    <w:basedOn w:val="VarsaylanParagrafYazTipi"/>
    <w:link w:val="AltBilgi0"/>
    <w:uiPriority w:val="99"/>
    <w:rsid w:val="00F96D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7617">
      <w:bodyDiv w:val="1"/>
      <w:marLeft w:val="0"/>
      <w:marRight w:val="0"/>
      <w:marTop w:val="0"/>
      <w:marBottom w:val="0"/>
      <w:divBdr>
        <w:top w:val="none" w:sz="0" w:space="0" w:color="auto"/>
        <w:left w:val="none" w:sz="0" w:space="0" w:color="auto"/>
        <w:bottom w:val="none" w:sz="0" w:space="0" w:color="auto"/>
        <w:right w:val="none" w:sz="0" w:space="0" w:color="auto"/>
      </w:divBdr>
    </w:div>
    <w:div w:id="74132804">
      <w:bodyDiv w:val="1"/>
      <w:marLeft w:val="0"/>
      <w:marRight w:val="0"/>
      <w:marTop w:val="0"/>
      <w:marBottom w:val="0"/>
      <w:divBdr>
        <w:top w:val="none" w:sz="0" w:space="0" w:color="auto"/>
        <w:left w:val="none" w:sz="0" w:space="0" w:color="auto"/>
        <w:bottom w:val="none" w:sz="0" w:space="0" w:color="auto"/>
        <w:right w:val="none" w:sz="0" w:space="0" w:color="auto"/>
      </w:divBdr>
    </w:div>
    <w:div w:id="108933926">
      <w:bodyDiv w:val="1"/>
      <w:marLeft w:val="0"/>
      <w:marRight w:val="0"/>
      <w:marTop w:val="0"/>
      <w:marBottom w:val="0"/>
      <w:divBdr>
        <w:top w:val="none" w:sz="0" w:space="0" w:color="auto"/>
        <w:left w:val="none" w:sz="0" w:space="0" w:color="auto"/>
        <w:bottom w:val="none" w:sz="0" w:space="0" w:color="auto"/>
        <w:right w:val="none" w:sz="0" w:space="0" w:color="auto"/>
      </w:divBdr>
    </w:div>
    <w:div w:id="127018384">
      <w:bodyDiv w:val="1"/>
      <w:marLeft w:val="0"/>
      <w:marRight w:val="0"/>
      <w:marTop w:val="0"/>
      <w:marBottom w:val="0"/>
      <w:divBdr>
        <w:top w:val="none" w:sz="0" w:space="0" w:color="auto"/>
        <w:left w:val="none" w:sz="0" w:space="0" w:color="auto"/>
        <w:bottom w:val="none" w:sz="0" w:space="0" w:color="auto"/>
        <w:right w:val="none" w:sz="0" w:space="0" w:color="auto"/>
      </w:divBdr>
    </w:div>
    <w:div w:id="129635912">
      <w:bodyDiv w:val="1"/>
      <w:marLeft w:val="0"/>
      <w:marRight w:val="0"/>
      <w:marTop w:val="0"/>
      <w:marBottom w:val="0"/>
      <w:divBdr>
        <w:top w:val="none" w:sz="0" w:space="0" w:color="auto"/>
        <w:left w:val="none" w:sz="0" w:space="0" w:color="auto"/>
        <w:bottom w:val="none" w:sz="0" w:space="0" w:color="auto"/>
        <w:right w:val="none" w:sz="0" w:space="0" w:color="auto"/>
      </w:divBdr>
    </w:div>
    <w:div w:id="150148320">
      <w:bodyDiv w:val="1"/>
      <w:marLeft w:val="0"/>
      <w:marRight w:val="0"/>
      <w:marTop w:val="0"/>
      <w:marBottom w:val="0"/>
      <w:divBdr>
        <w:top w:val="none" w:sz="0" w:space="0" w:color="auto"/>
        <w:left w:val="none" w:sz="0" w:space="0" w:color="auto"/>
        <w:bottom w:val="none" w:sz="0" w:space="0" w:color="auto"/>
        <w:right w:val="none" w:sz="0" w:space="0" w:color="auto"/>
      </w:divBdr>
    </w:div>
    <w:div w:id="152382628">
      <w:bodyDiv w:val="1"/>
      <w:marLeft w:val="0"/>
      <w:marRight w:val="0"/>
      <w:marTop w:val="0"/>
      <w:marBottom w:val="0"/>
      <w:divBdr>
        <w:top w:val="none" w:sz="0" w:space="0" w:color="auto"/>
        <w:left w:val="none" w:sz="0" w:space="0" w:color="auto"/>
        <w:bottom w:val="none" w:sz="0" w:space="0" w:color="auto"/>
        <w:right w:val="none" w:sz="0" w:space="0" w:color="auto"/>
      </w:divBdr>
    </w:div>
    <w:div w:id="172116562">
      <w:bodyDiv w:val="1"/>
      <w:marLeft w:val="0"/>
      <w:marRight w:val="0"/>
      <w:marTop w:val="0"/>
      <w:marBottom w:val="0"/>
      <w:divBdr>
        <w:top w:val="none" w:sz="0" w:space="0" w:color="auto"/>
        <w:left w:val="none" w:sz="0" w:space="0" w:color="auto"/>
        <w:bottom w:val="none" w:sz="0" w:space="0" w:color="auto"/>
        <w:right w:val="none" w:sz="0" w:space="0" w:color="auto"/>
      </w:divBdr>
    </w:div>
    <w:div w:id="175387488">
      <w:bodyDiv w:val="1"/>
      <w:marLeft w:val="0"/>
      <w:marRight w:val="0"/>
      <w:marTop w:val="0"/>
      <w:marBottom w:val="0"/>
      <w:divBdr>
        <w:top w:val="none" w:sz="0" w:space="0" w:color="auto"/>
        <w:left w:val="none" w:sz="0" w:space="0" w:color="auto"/>
        <w:bottom w:val="none" w:sz="0" w:space="0" w:color="auto"/>
        <w:right w:val="none" w:sz="0" w:space="0" w:color="auto"/>
      </w:divBdr>
    </w:div>
    <w:div w:id="189491784">
      <w:bodyDiv w:val="1"/>
      <w:marLeft w:val="0"/>
      <w:marRight w:val="0"/>
      <w:marTop w:val="0"/>
      <w:marBottom w:val="0"/>
      <w:divBdr>
        <w:top w:val="none" w:sz="0" w:space="0" w:color="auto"/>
        <w:left w:val="none" w:sz="0" w:space="0" w:color="auto"/>
        <w:bottom w:val="none" w:sz="0" w:space="0" w:color="auto"/>
        <w:right w:val="none" w:sz="0" w:space="0" w:color="auto"/>
      </w:divBdr>
    </w:div>
    <w:div w:id="193733446">
      <w:bodyDiv w:val="1"/>
      <w:marLeft w:val="0"/>
      <w:marRight w:val="0"/>
      <w:marTop w:val="0"/>
      <w:marBottom w:val="0"/>
      <w:divBdr>
        <w:top w:val="none" w:sz="0" w:space="0" w:color="auto"/>
        <w:left w:val="none" w:sz="0" w:space="0" w:color="auto"/>
        <w:bottom w:val="none" w:sz="0" w:space="0" w:color="auto"/>
        <w:right w:val="none" w:sz="0" w:space="0" w:color="auto"/>
      </w:divBdr>
    </w:div>
    <w:div w:id="202138120">
      <w:bodyDiv w:val="1"/>
      <w:marLeft w:val="0"/>
      <w:marRight w:val="0"/>
      <w:marTop w:val="0"/>
      <w:marBottom w:val="0"/>
      <w:divBdr>
        <w:top w:val="none" w:sz="0" w:space="0" w:color="auto"/>
        <w:left w:val="none" w:sz="0" w:space="0" w:color="auto"/>
        <w:bottom w:val="none" w:sz="0" w:space="0" w:color="auto"/>
        <w:right w:val="none" w:sz="0" w:space="0" w:color="auto"/>
      </w:divBdr>
    </w:div>
    <w:div w:id="215703423">
      <w:bodyDiv w:val="1"/>
      <w:marLeft w:val="0"/>
      <w:marRight w:val="0"/>
      <w:marTop w:val="0"/>
      <w:marBottom w:val="0"/>
      <w:divBdr>
        <w:top w:val="none" w:sz="0" w:space="0" w:color="auto"/>
        <w:left w:val="none" w:sz="0" w:space="0" w:color="auto"/>
        <w:bottom w:val="none" w:sz="0" w:space="0" w:color="auto"/>
        <w:right w:val="none" w:sz="0" w:space="0" w:color="auto"/>
      </w:divBdr>
    </w:div>
    <w:div w:id="271281492">
      <w:bodyDiv w:val="1"/>
      <w:marLeft w:val="0"/>
      <w:marRight w:val="0"/>
      <w:marTop w:val="0"/>
      <w:marBottom w:val="0"/>
      <w:divBdr>
        <w:top w:val="none" w:sz="0" w:space="0" w:color="auto"/>
        <w:left w:val="none" w:sz="0" w:space="0" w:color="auto"/>
        <w:bottom w:val="none" w:sz="0" w:space="0" w:color="auto"/>
        <w:right w:val="none" w:sz="0" w:space="0" w:color="auto"/>
      </w:divBdr>
    </w:div>
    <w:div w:id="276722420">
      <w:bodyDiv w:val="1"/>
      <w:marLeft w:val="0"/>
      <w:marRight w:val="0"/>
      <w:marTop w:val="0"/>
      <w:marBottom w:val="0"/>
      <w:divBdr>
        <w:top w:val="none" w:sz="0" w:space="0" w:color="auto"/>
        <w:left w:val="none" w:sz="0" w:space="0" w:color="auto"/>
        <w:bottom w:val="none" w:sz="0" w:space="0" w:color="auto"/>
        <w:right w:val="none" w:sz="0" w:space="0" w:color="auto"/>
      </w:divBdr>
    </w:div>
    <w:div w:id="298191756">
      <w:bodyDiv w:val="1"/>
      <w:marLeft w:val="0"/>
      <w:marRight w:val="0"/>
      <w:marTop w:val="0"/>
      <w:marBottom w:val="0"/>
      <w:divBdr>
        <w:top w:val="none" w:sz="0" w:space="0" w:color="auto"/>
        <w:left w:val="none" w:sz="0" w:space="0" w:color="auto"/>
        <w:bottom w:val="none" w:sz="0" w:space="0" w:color="auto"/>
        <w:right w:val="none" w:sz="0" w:space="0" w:color="auto"/>
      </w:divBdr>
    </w:div>
    <w:div w:id="307587424">
      <w:bodyDiv w:val="1"/>
      <w:marLeft w:val="0"/>
      <w:marRight w:val="0"/>
      <w:marTop w:val="0"/>
      <w:marBottom w:val="0"/>
      <w:divBdr>
        <w:top w:val="none" w:sz="0" w:space="0" w:color="auto"/>
        <w:left w:val="none" w:sz="0" w:space="0" w:color="auto"/>
        <w:bottom w:val="none" w:sz="0" w:space="0" w:color="auto"/>
        <w:right w:val="none" w:sz="0" w:space="0" w:color="auto"/>
      </w:divBdr>
    </w:div>
    <w:div w:id="373584025">
      <w:bodyDiv w:val="1"/>
      <w:marLeft w:val="0"/>
      <w:marRight w:val="0"/>
      <w:marTop w:val="0"/>
      <w:marBottom w:val="0"/>
      <w:divBdr>
        <w:top w:val="none" w:sz="0" w:space="0" w:color="auto"/>
        <w:left w:val="none" w:sz="0" w:space="0" w:color="auto"/>
        <w:bottom w:val="none" w:sz="0" w:space="0" w:color="auto"/>
        <w:right w:val="none" w:sz="0" w:space="0" w:color="auto"/>
      </w:divBdr>
    </w:div>
    <w:div w:id="399912293">
      <w:bodyDiv w:val="1"/>
      <w:marLeft w:val="0"/>
      <w:marRight w:val="0"/>
      <w:marTop w:val="0"/>
      <w:marBottom w:val="0"/>
      <w:divBdr>
        <w:top w:val="none" w:sz="0" w:space="0" w:color="auto"/>
        <w:left w:val="none" w:sz="0" w:space="0" w:color="auto"/>
        <w:bottom w:val="none" w:sz="0" w:space="0" w:color="auto"/>
        <w:right w:val="none" w:sz="0" w:space="0" w:color="auto"/>
      </w:divBdr>
    </w:div>
    <w:div w:id="429549820">
      <w:bodyDiv w:val="1"/>
      <w:marLeft w:val="0"/>
      <w:marRight w:val="0"/>
      <w:marTop w:val="0"/>
      <w:marBottom w:val="0"/>
      <w:divBdr>
        <w:top w:val="none" w:sz="0" w:space="0" w:color="auto"/>
        <w:left w:val="none" w:sz="0" w:space="0" w:color="auto"/>
        <w:bottom w:val="none" w:sz="0" w:space="0" w:color="auto"/>
        <w:right w:val="none" w:sz="0" w:space="0" w:color="auto"/>
      </w:divBdr>
    </w:div>
    <w:div w:id="433356592">
      <w:bodyDiv w:val="1"/>
      <w:marLeft w:val="0"/>
      <w:marRight w:val="0"/>
      <w:marTop w:val="0"/>
      <w:marBottom w:val="0"/>
      <w:divBdr>
        <w:top w:val="none" w:sz="0" w:space="0" w:color="auto"/>
        <w:left w:val="none" w:sz="0" w:space="0" w:color="auto"/>
        <w:bottom w:val="none" w:sz="0" w:space="0" w:color="auto"/>
        <w:right w:val="none" w:sz="0" w:space="0" w:color="auto"/>
      </w:divBdr>
    </w:div>
    <w:div w:id="449976737">
      <w:bodyDiv w:val="1"/>
      <w:marLeft w:val="0"/>
      <w:marRight w:val="0"/>
      <w:marTop w:val="0"/>
      <w:marBottom w:val="0"/>
      <w:divBdr>
        <w:top w:val="none" w:sz="0" w:space="0" w:color="auto"/>
        <w:left w:val="none" w:sz="0" w:space="0" w:color="auto"/>
        <w:bottom w:val="none" w:sz="0" w:space="0" w:color="auto"/>
        <w:right w:val="none" w:sz="0" w:space="0" w:color="auto"/>
      </w:divBdr>
    </w:div>
    <w:div w:id="529530944">
      <w:bodyDiv w:val="1"/>
      <w:marLeft w:val="0"/>
      <w:marRight w:val="0"/>
      <w:marTop w:val="0"/>
      <w:marBottom w:val="0"/>
      <w:divBdr>
        <w:top w:val="none" w:sz="0" w:space="0" w:color="auto"/>
        <w:left w:val="none" w:sz="0" w:space="0" w:color="auto"/>
        <w:bottom w:val="none" w:sz="0" w:space="0" w:color="auto"/>
        <w:right w:val="none" w:sz="0" w:space="0" w:color="auto"/>
      </w:divBdr>
    </w:div>
    <w:div w:id="536744028">
      <w:bodyDiv w:val="1"/>
      <w:marLeft w:val="0"/>
      <w:marRight w:val="0"/>
      <w:marTop w:val="0"/>
      <w:marBottom w:val="0"/>
      <w:divBdr>
        <w:top w:val="none" w:sz="0" w:space="0" w:color="auto"/>
        <w:left w:val="none" w:sz="0" w:space="0" w:color="auto"/>
        <w:bottom w:val="none" w:sz="0" w:space="0" w:color="auto"/>
        <w:right w:val="none" w:sz="0" w:space="0" w:color="auto"/>
      </w:divBdr>
      <w:divsChild>
        <w:div w:id="1943757218">
          <w:marLeft w:val="0"/>
          <w:marRight w:val="0"/>
          <w:marTop w:val="0"/>
          <w:marBottom w:val="0"/>
          <w:divBdr>
            <w:top w:val="none" w:sz="0" w:space="0" w:color="auto"/>
            <w:left w:val="none" w:sz="0" w:space="0" w:color="auto"/>
            <w:bottom w:val="none" w:sz="0" w:space="0" w:color="auto"/>
            <w:right w:val="none" w:sz="0" w:space="0" w:color="auto"/>
          </w:divBdr>
        </w:div>
      </w:divsChild>
    </w:div>
    <w:div w:id="584263739">
      <w:bodyDiv w:val="1"/>
      <w:marLeft w:val="0"/>
      <w:marRight w:val="0"/>
      <w:marTop w:val="0"/>
      <w:marBottom w:val="0"/>
      <w:divBdr>
        <w:top w:val="none" w:sz="0" w:space="0" w:color="auto"/>
        <w:left w:val="none" w:sz="0" w:space="0" w:color="auto"/>
        <w:bottom w:val="none" w:sz="0" w:space="0" w:color="auto"/>
        <w:right w:val="none" w:sz="0" w:space="0" w:color="auto"/>
      </w:divBdr>
    </w:div>
    <w:div w:id="588733861">
      <w:bodyDiv w:val="1"/>
      <w:marLeft w:val="0"/>
      <w:marRight w:val="0"/>
      <w:marTop w:val="0"/>
      <w:marBottom w:val="0"/>
      <w:divBdr>
        <w:top w:val="none" w:sz="0" w:space="0" w:color="auto"/>
        <w:left w:val="none" w:sz="0" w:space="0" w:color="auto"/>
        <w:bottom w:val="none" w:sz="0" w:space="0" w:color="auto"/>
        <w:right w:val="none" w:sz="0" w:space="0" w:color="auto"/>
      </w:divBdr>
    </w:div>
    <w:div w:id="620192485">
      <w:bodyDiv w:val="1"/>
      <w:marLeft w:val="0"/>
      <w:marRight w:val="0"/>
      <w:marTop w:val="0"/>
      <w:marBottom w:val="0"/>
      <w:divBdr>
        <w:top w:val="none" w:sz="0" w:space="0" w:color="auto"/>
        <w:left w:val="none" w:sz="0" w:space="0" w:color="auto"/>
        <w:bottom w:val="none" w:sz="0" w:space="0" w:color="auto"/>
        <w:right w:val="none" w:sz="0" w:space="0" w:color="auto"/>
      </w:divBdr>
    </w:div>
    <w:div w:id="640185959">
      <w:bodyDiv w:val="1"/>
      <w:marLeft w:val="0"/>
      <w:marRight w:val="0"/>
      <w:marTop w:val="0"/>
      <w:marBottom w:val="0"/>
      <w:divBdr>
        <w:top w:val="none" w:sz="0" w:space="0" w:color="auto"/>
        <w:left w:val="none" w:sz="0" w:space="0" w:color="auto"/>
        <w:bottom w:val="none" w:sz="0" w:space="0" w:color="auto"/>
        <w:right w:val="none" w:sz="0" w:space="0" w:color="auto"/>
      </w:divBdr>
    </w:div>
    <w:div w:id="680818261">
      <w:bodyDiv w:val="1"/>
      <w:marLeft w:val="0"/>
      <w:marRight w:val="0"/>
      <w:marTop w:val="0"/>
      <w:marBottom w:val="0"/>
      <w:divBdr>
        <w:top w:val="none" w:sz="0" w:space="0" w:color="auto"/>
        <w:left w:val="none" w:sz="0" w:space="0" w:color="auto"/>
        <w:bottom w:val="none" w:sz="0" w:space="0" w:color="auto"/>
        <w:right w:val="none" w:sz="0" w:space="0" w:color="auto"/>
      </w:divBdr>
    </w:div>
    <w:div w:id="716854758">
      <w:bodyDiv w:val="1"/>
      <w:marLeft w:val="0"/>
      <w:marRight w:val="0"/>
      <w:marTop w:val="0"/>
      <w:marBottom w:val="0"/>
      <w:divBdr>
        <w:top w:val="none" w:sz="0" w:space="0" w:color="auto"/>
        <w:left w:val="none" w:sz="0" w:space="0" w:color="auto"/>
        <w:bottom w:val="none" w:sz="0" w:space="0" w:color="auto"/>
        <w:right w:val="none" w:sz="0" w:space="0" w:color="auto"/>
      </w:divBdr>
    </w:div>
    <w:div w:id="763578706">
      <w:bodyDiv w:val="1"/>
      <w:marLeft w:val="0"/>
      <w:marRight w:val="0"/>
      <w:marTop w:val="0"/>
      <w:marBottom w:val="0"/>
      <w:divBdr>
        <w:top w:val="none" w:sz="0" w:space="0" w:color="auto"/>
        <w:left w:val="none" w:sz="0" w:space="0" w:color="auto"/>
        <w:bottom w:val="none" w:sz="0" w:space="0" w:color="auto"/>
        <w:right w:val="none" w:sz="0" w:space="0" w:color="auto"/>
      </w:divBdr>
    </w:div>
    <w:div w:id="806430750">
      <w:bodyDiv w:val="1"/>
      <w:marLeft w:val="0"/>
      <w:marRight w:val="0"/>
      <w:marTop w:val="0"/>
      <w:marBottom w:val="0"/>
      <w:divBdr>
        <w:top w:val="none" w:sz="0" w:space="0" w:color="auto"/>
        <w:left w:val="none" w:sz="0" w:space="0" w:color="auto"/>
        <w:bottom w:val="none" w:sz="0" w:space="0" w:color="auto"/>
        <w:right w:val="none" w:sz="0" w:space="0" w:color="auto"/>
      </w:divBdr>
    </w:div>
    <w:div w:id="857810166">
      <w:bodyDiv w:val="1"/>
      <w:marLeft w:val="0"/>
      <w:marRight w:val="0"/>
      <w:marTop w:val="0"/>
      <w:marBottom w:val="0"/>
      <w:divBdr>
        <w:top w:val="none" w:sz="0" w:space="0" w:color="auto"/>
        <w:left w:val="none" w:sz="0" w:space="0" w:color="auto"/>
        <w:bottom w:val="none" w:sz="0" w:space="0" w:color="auto"/>
        <w:right w:val="none" w:sz="0" w:space="0" w:color="auto"/>
      </w:divBdr>
    </w:div>
    <w:div w:id="886836456">
      <w:bodyDiv w:val="1"/>
      <w:marLeft w:val="0"/>
      <w:marRight w:val="0"/>
      <w:marTop w:val="0"/>
      <w:marBottom w:val="0"/>
      <w:divBdr>
        <w:top w:val="none" w:sz="0" w:space="0" w:color="auto"/>
        <w:left w:val="none" w:sz="0" w:space="0" w:color="auto"/>
        <w:bottom w:val="none" w:sz="0" w:space="0" w:color="auto"/>
        <w:right w:val="none" w:sz="0" w:space="0" w:color="auto"/>
      </w:divBdr>
    </w:div>
    <w:div w:id="898130271">
      <w:bodyDiv w:val="1"/>
      <w:marLeft w:val="0"/>
      <w:marRight w:val="0"/>
      <w:marTop w:val="0"/>
      <w:marBottom w:val="0"/>
      <w:divBdr>
        <w:top w:val="none" w:sz="0" w:space="0" w:color="auto"/>
        <w:left w:val="none" w:sz="0" w:space="0" w:color="auto"/>
        <w:bottom w:val="none" w:sz="0" w:space="0" w:color="auto"/>
        <w:right w:val="none" w:sz="0" w:space="0" w:color="auto"/>
      </w:divBdr>
    </w:div>
    <w:div w:id="909929419">
      <w:bodyDiv w:val="1"/>
      <w:marLeft w:val="0"/>
      <w:marRight w:val="0"/>
      <w:marTop w:val="0"/>
      <w:marBottom w:val="0"/>
      <w:divBdr>
        <w:top w:val="none" w:sz="0" w:space="0" w:color="auto"/>
        <w:left w:val="none" w:sz="0" w:space="0" w:color="auto"/>
        <w:bottom w:val="none" w:sz="0" w:space="0" w:color="auto"/>
        <w:right w:val="none" w:sz="0" w:space="0" w:color="auto"/>
      </w:divBdr>
    </w:div>
    <w:div w:id="961426763">
      <w:bodyDiv w:val="1"/>
      <w:marLeft w:val="0"/>
      <w:marRight w:val="0"/>
      <w:marTop w:val="0"/>
      <w:marBottom w:val="0"/>
      <w:divBdr>
        <w:top w:val="none" w:sz="0" w:space="0" w:color="auto"/>
        <w:left w:val="none" w:sz="0" w:space="0" w:color="auto"/>
        <w:bottom w:val="none" w:sz="0" w:space="0" w:color="auto"/>
        <w:right w:val="none" w:sz="0" w:space="0" w:color="auto"/>
      </w:divBdr>
    </w:div>
    <w:div w:id="962348921">
      <w:bodyDiv w:val="1"/>
      <w:marLeft w:val="0"/>
      <w:marRight w:val="0"/>
      <w:marTop w:val="0"/>
      <w:marBottom w:val="0"/>
      <w:divBdr>
        <w:top w:val="none" w:sz="0" w:space="0" w:color="auto"/>
        <w:left w:val="none" w:sz="0" w:space="0" w:color="auto"/>
        <w:bottom w:val="none" w:sz="0" w:space="0" w:color="auto"/>
        <w:right w:val="none" w:sz="0" w:space="0" w:color="auto"/>
      </w:divBdr>
    </w:div>
    <w:div w:id="992490419">
      <w:bodyDiv w:val="1"/>
      <w:marLeft w:val="0"/>
      <w:marRight w:val="0"/>
      <w:marTop w:val="0"/>
      <w:marBottom w:val="0"/>
      <w:divBdr>
        <w:top w:val="none" w:sz="0" w:space="0" w:color="auto"/>
        <w:left w:val="none" w:sz="0" w:space="0" w:color="auto"/>
        <w:bottom w:val="none" w:sz="0" w:space="0" w:color="auto"/>
        <w:right w:val="none" w:sz="0" w:space="0" w:color="auto"/>
      </w:divBdr>
    </w:div>
    <w:div w:id="1070617067">
      <w:bodyDiv w:val="1"/>
      <w:marLeft w:val="0"/>
      <w:marRight w:val="0"/>
      <w:marTop w:val="0"/>
      <w:marBottom w:val="0"/>
      <w:divBdr>
        <w:top w:val="none" w:sz="0" w:space="0" w:color="auto"/>
        <w:left w:val="none" w:sz="0" w:space="0" w:color="auto"/>
        <w:bottom w:val="none" w:sz="0" w:space="0" w:color="auto"/>
        <w:right w:val="none" w:sz="0" w:space="0" w:color="auto"/>
      </w:divBdr>
    </w:div>
    <w:div w:id="1116683286">
      <w:bodyDiv w:val="1"/>
      <w:marLeft w:val="0"/>
      <w:marRight w:val="0"/>
      <w:marTop w:val="0"/>
      <w:marBottom w:val="0"/>
      <w:divBdr>
        <w:top w:val="none" w:sz="0" w:space="0" w:color="auto"/>
        <w:left w:val="none" w:sz="0" w:space="0" w:color="auto"/>
        <w:bottom w:val="none" w:sz="0" w:space="0" w:color="auto"/>
        <w:right w:val="none" w:sz="0" w:space="0" w:color="auto"/>
      </w:divBdr>
    </w:div>
    <w:div w:id="1230993375">
      <w:bodyDiv w:val="1"/>
      <w:marLeft w:val="0"/>
      <w:marRight w:val="0"/>
      <w:marTop w:val="0"/>
      <w:marBottom w:val="0"/>
      <w:divBdr>
        <w:top w:val="none" w:sz="0" w:space="0" w:color="auto"/>
        <w:left w:val="none" w:sz="0" w:space="0" w:color="auto"/>
        <w:bottom w:val="none" w:sz="0" w:space="0" w:color="auto"/>
        <w:right w:val="none" w:sz="0" w:space="0" w:color="auto"/>
      </w:divBdr>
    </w:div>
    <w:div w:id="1251504559">
      <w:bodyDiv w:val="1"/>
      <w:marLeft w:val="0"/>
      <w:marRight w:val="0"/>
      <w:marTop w:val="0"/>
      <w:marBottom w:val="0"/>
      <w:divBdr>
        <w:top w:val="none" w:sz="0" w:space="0" w:color="auto"/>
        <w:left w:val="none" w:sz="0" w:space="0" w:color="auto"/>
        <w:bottom w:val="none" w:sz="0" w:space="0" w:color="auto"/>
        <w:right w:val="none" w:sz="0" w:space="0" w:color="auto"/>
      </w:divBdr>
    </w:div>
    <w:div w:id="1277104621">
      <w:bodyDiv w:val="1"/>
      <w:marLeft w:val="0"/>
      <w:marRight w:val="0"/>
      <w:marTop w:val="0"/>
      <w:marBottom w:val="0"/>
      <w:divBdr>
        <w:top w:val="none" w:sz="0" w:space="0" w:color="auto"/>
        <w:left w:val="none" w:sz="0" w:space="0" w:color="auto"/>
        <w:bottom w:val="none" w:sz="0" w:space="0" w:color="auto"/>
        <w:right w:val="none" w:sz="0" w:space="0" w:color="auto"/>
      </w:divBdr>
    </w:div>
    <w:div w:id="1279918809">
      <w:bodyDiv w:val="1"/>
      <w:marLeft w:val="0"/>
      <w:marRight w:val="0"/>
      <w:marTop w:val="0"/>
      <w:marBottom w:val="0"/>
      <w:divBdr>
        <w:top w:val="none" w:sz="0" w:space="0" w:color="auto"/>
        <w:left w:val="none" w:sz="0" w:space="0" w:color="auto"/>
        <w:bottom w:val="none" w:sz="0" w:space="0" w:color="auto"/>
        <w:right w:val="none" w:sz="0" w:space="0" w:color="auto"/>
      </w:divBdr>
    </w:div>
    <w:div w:id="1314215315">
      <w:bodyDiv w:val="1"/>
      <w:marLeft w:val="0"/>
      <w:marRight w:val="0"/>
      <w:marTop w:val="0"/>
      <w:marBottom w:val="0"/>
      <w:divBdr>
        <w:top w:val="none" w:sz="0" w:space="0" w:color="auto"/>
        <w:left w:val="none" w:sz="0" w:space="0" w:color="auto"/>
        <w:bottom w:val="none" w:sz="0" w:space="0" w:color="auto"/>
        <w:right w:val="none" w:sz="0" w:space="0" w:color="auto"/>
      </w:divBdr>
    </w:div>
    <w:div w:id="1354302916">
      <w:bodyDiv w:val="1"/>
      <w:marLeft w:val="0"/>
      <w:marRight w:val="0"/>
      <w:marTop w:val="0"/>
      <w:marBottom w:val="0"/>
      <w:divBdr>
        <w:top w:val="none" w:sz="0" w:space="0" w:color="auto"/>
        <w:left w:val="none" w:sz="0" w:space="0" w:color="auto"/>
        <w:bottom w:val="none" w:sz="0" w:space="0" w:color="auto"/>
        <w:right w:val="none" w:sz="0" w:space="0" w:color="auto"/>
      </w:divBdr>
    </w:div>
    <w:div w:id="1362363487">
      <w:bodyDiv w:val="1"/>
      <w:marLeft w:val="0"/>
      <w:marRight w:val="0"/>
      <w:marTop w:val="0"/>
      <w:marBottom w:val="0"/>
      <w:divBdr>
        <w:top w:val="none" w:sz="0" w:space="0" w:color="auto"/>
        <w:left w:val="none" w:sz="0" w:space="0" w:color="auto"/>
        <w:bottom w:val="none" w:sz="0" w:space="0" w:color="auto"/>
        <w:right w:val="none" w:sz="0" w:space="0" w:color="auto"/>
      </w:divBdr>
    </w:div>
    <w:div w:id="1441686805">
      <w:bodyDiv w:val="1"/>
      <w:marLeft w:val="0"/>
      <w:marRight w:val="0"/>
      <w:marTop w:val="0"/>
      <w:marBottom w:val="0"/>
      <w:divBdr>
        <w:top w:val="none" w:sz="0" w:space="0" w:color="auto"/>
        <w:left w:val="none" w:sz="0" w:space="0" w:color="auto"/>
        <w:bottom w:val="none" w:sz="0" w:space="0" w:color="auto"/>
        <w:right w:val="none" w:sz="0" w:space="0" w:color="auto"/>
      </w:divBdr>
    </w:div>
    <w:div w:id="1500383630">
      <w:bodyDiv w:val="1"/>
      <w:marLeft w:val="0"/>
      <w:marRight w:val="0"/>
      <w:marTop w:val="0"/>
      <w:marBottom w:val="0"/>
      <w:divBdr>
        <w:top w:val="none" w:sz="0" w:space="0" w:color="auto"/>
        <w:left w:val="none" w:sz="0" w:space="0" w:color="auto"/>
        <w:bottom w:val="none" w:sz="0" w:space="0" w:color="auto"/>
        <w:right w:val="none" w:sz="0" w:space="0" w:color="auto"/>
      </w:divBdr>
    </w:div>
    <w:div w:id="1530292671">
      <w:bodyDiv w:val="1"/>
      <w:marLeft w:val="0"/>
      <w:marRight w:val="0"/>
      <w:marTop w:val="0"/>
      <w:marBottom w:val="0"/>
      <w:divBdr>
        <w:top w:val="none" w:sz="0" w:space="0" w:color="auto"/>
        <w:left w:val="none" w:sz="0" w:space="0" w:color="auto"/>
        <w:bottom w:val="none" w:sz="0" w:space="0" w:color="auto"/>
        <w:right w:val="none" w:sz="0" w:space="0" w:color="auto"/>
      </w:divBdr>
    </w:div>
    <w:div w:id="1539128111">
      <w:bodyDiv w:val="1"/>
      <w:marLeft w:val="0"/>
      <w:marRight w:val="0"/>
      <w:marTop w:val="0"/>
      <w:marBottom w:val="0"/>
      <w:divBdr>
        <w:top w:val="none" w:sz="0" w:space="0" w:color="auto"/>
        <w:left w:val="none" w:sz="0" w:space="0" w:color="auto"/>
        <w:bottom w:val="none" w:sz="0" w:space="0" w:color="auto"/>
        <w:right w:val="none" w:sz="0" w:space="0" w:color="auto"/>
      </w:divBdr>
    </w:div>
    <w:div w:id="1565598787">
      <w:bodyDiv w:val="1"/>
      <w:marLeft w:val="0"/>
      <w:marRight w:val="0"/>
      <w:marTop w:val="0"/>
      <w:marBottom w:val="0"/>
      <w:divBdr>
        <w:top w:val="none" w:sz="0" w:space="0" w:color="auto"/>
        <w:left w:val="none" w:sz="0" w:space="0" w:color="auto"/>
        <w:bottom w:val="none" w:sz="0" w:space="0" w:color="auto"/>
        <w:right w:val="none" w:sz="0" w:space="0" w:color="auto"/>
      </w:divBdr>
    </w:div>
    <w:div w:id="1585987996">
      <w:bodyDiv w:val="1"/>
      <w:marLeft w:val="0"/>
      <w:marRight w:val="0"/>
      <w:marTop w:val="0"/>
      <w:marBottom w:val="0"/>
      <w:divBdr>
        <w:top w:val="none" w:sz="0" w:space="0" w:color="auto"/>
        <w:left w:val="none" w:sz="0" w:space="0" w:color="auto"/>
        <w:bottom w:val="none" w:sz="0" w:space="0" w:color="auto"/>
        <w:right w:val="none" w:sz="0" w:space="0" w:color="auto"/>
      </w:divBdr>
    </w:div>
    <w:div w:id="1586038553">
      <w:bodyDiv w:val="1"/>
      <w:marLeft w:val="0"/>
      <w:marRight w:val="0"/>
      <w:marTop w:val="0"/>
      <w:marBottom w:val="0"/>
      <w:divBdr>
        <w:top w:val="none" w:sz="0" w:space="0" w:color="auto"/>
        <w:left w:val="none" w:sz="0" w:space="0" w:color="auto"/>
        <w:bottom w:val="none" w:sz="0" w:space="0" w:color="auto"/>
        <w:right w:val="none" w:sz="0" w:space="0" w:color="auto"/>
      </w:divBdr>
    </w:div>
    <w:div w:id="1624774801">
      <w:bodyDiv w:val="1"/>
      <w:marLeft w:val="0"/>
      <w:marRight w:val="0"/>
      <w:marTop w:val="0"/>
      <w:marBottom w:val="0"/>
      <w:divBdr>
        <w:top w:val="none" w:sz="0" w:space="0" w:color="auto"/>
        <w:left w:val="none" w:sz="0" w:space="0" w:color="auto"/>
        <w:bottom w:val="none" w:sz="0" w:space="0" w:color="auto"/>
        <w:right w:val="none" w:sz="0" w:space="0" w:color="auto"/>
      </w:divBdr>
    </w:div>
    <w:div w:id="1631593102">
      <w:bodyDiv w:val="1"/>
      <w:marLeft w:val="0"/>
      <w:marRight w:val="0"/>
      <w:marTop w:val="0"/>
      <w:marBottom w:val="0"/>
      <w:divBdr>
        <w:top w:val="none" w:sz="0" w:space="0" w:color="auto"/>
        <w:left w:val="none" w:sz="0" w:space="0" w:color="auto"/>
        <w:bottom w:val="none" w:sz="0" w:space="0" w:color="auto"/>
        <w:right w:val="none" w:sz="0" w:space="0" w:color="auto"/>
      </w:divBdr>
    </w:div>
    <w:div w:id="1668174349">
      <w:bodyDiv w:val="1"/>
      <w:marLeft w:val="0"/>
      <w:marRight w:val="0"/>
      <w:marTop w:val="0"/>
      <w:marBottom w:val="0"/>
      <w:divBdr>
        <w:top w:val="none" w:sz="0" w:space="0" w:color="auto"/>
        <w:left w:val="none" w:sz="0" w:space="0" w:color="auto"/>
        <w:bottom w:val="none" w:sz="0" w:space="0" w:color="auto"/>
        <w:right w:val="none" w:sz="0" w:space="0" w:color="auto"/>
      </w:divBdr>
    </w:div>
    <w:div w:id="1701398845">
      <w:bodyDiv w:val="1"/>
      <w:marLeft w:val="0"/>
      <w:marRight w:val="0"/>
      <w:marTop w:val="0"/>
      <w:marBottom w:val="0"/>
      <w:divBdr>
        <w:top w:val="none" w:sz="0" w:space="0" w:color="auto"/>
        <w:left w:val="none" w:sz="0" w:space="0" w:color="auto"/>
        <w:bottom w:val="none" w:sz="0" w:space="0" w:color="auto"/>
        <w:right w:val="none" w:sz="0" w:space="0" w:color="auto"/>
      </w:divBdr>
    </w:div>
    <w:div w:id="1705447579">
      <w:bodyDiv w:val="1"/>
      <w:marLeft w:val="0"/>
      <w:marRight w:val="0"/>
      <w:marTop w:val="0"/>
      <w:marBottom w:val="0"/>
      <w:divBdr>
        <w:top w:val="none" w:sz="0" w:space="0" w:color="auto"/>
        <w:left w:val="none" w:sz="0" w:space="0" w:color="auto"/>
        <w:bottom w:val="none" w:sz="0" w:space="0" w:color="auto"/>
        <w:right w:val="none" w:sz="0" w:space="0" w:color="auto"/>
      </w:divBdr>
    </w:div>
    <w:div w:id="1734501454">
      <w:bodyDiv w:val="1"/>
      <w:marLeft w:val="0"/>
      <w:marRight w:val="0"/>
      <w:marTop w:val="0"/>
      <w:marBottom w:val="0"/>
      <w:divBdr>
        <w:top w:val="none" w:sz="0" w:space="0" w:color="auto"/>
        <w:left w:val="none" w:sz="0" w:space="0" w:color="auto"/>
        <w:bottom w:val="none" w:sz="0" w:space="0" w:color="auto"/>
        <w:right w:val="none" w:sz="0" w:space="0" w:color="auto"/>
      </w:divBdr>
    </w:div>
    <w:div w:id="1788965683">
      <w:bodyDiv w:val="1"/>
      <w:marLeft w:val="0"/>
      <w:marRight w:val="0"/>
      <w:marTop w:val="0"/>
      <w:marBottom w:val="0"/>
      <w:divBdr>
        <w:top w:val="none" w:sz="0" w:space="0" w:color="auto"/>
        <w:left w:val="none" w:sz="0" w:space="0" w:color="auto"/>
        <w:bottom w:val="none" w:sz="0" w:space="0" w:color="auto"/>
        <w:right w:val="none" w:sz="0" w:space="0" w:color="auto"/>
      </w:divBdr>
    </w:div>
    <w:div w:id="1800494605">
      <w:bodyDiv w:val="1"/>
      <w:marLeft w:val="0"/>
      <w:marRight w:val="0"/>
      <w:marTop w:val="0"/>
      <w:marBottom w:val="0"/>
      <w:divBdr>
        <w:top w:val="none" w:sz="0" w:space="0" w:color="auto"/>
        <w:left w:val="none" w:sz="0" w:space="0" w:color="auto"/>
        <w:bottom w:val="none" w:sz="0" w:space="0" w:color="auto"/>
        <w:right w:val="none" w:sz="0" w:space="0" w:color="auto"/>
      </w:divBdr>
    </w:div>
    <w:div w:id="1801603545">
      <w:bodyDiv w:val="1"/>
      <w:marLeft w:val="0"/>
      <w:marRight w:val="0"/>
      <w:marTop w:val="0"/>
      <w:marBottom w:val="0"/>
      <w:divBdr>
        <w:top w:val="none" w:sz="0" w:space="0" w:color="auto"/>
        <w:left w:val="none" w:sz="0" w:space="0" w:color="auto"/>
        <w:bottom w:val="none" w:sz="0" w:space="0" w:color="auto"/>
        <w:right w:val="none" w:sz="0" w:space="0" w:color="auto"/>
      </w:divBdr>
    </w:div>
    <w:div w:id="1850220835">
      <w:bodyDiv w:val="1"/>
      <w:marLeft w:val="0"/>
      <w:marRight w:val="0"/>
      <w:marTop w:val="0"/>
      <w:marBottom w:val="0"/>
      <w:divBdr>
        <w:top w:val="none" w:sz="0" w:space="0" w:color="auto"/>
        <w:left w:val="none" w:sz="0" w:space="0" w:color="auto"/>
        <w:bottom w:val="none" w:sz="0" w:space="0" w:color="auto"/>
        <w:right w:val="none" w:sz="0" w:space="0" w:color="auto"/>
      </w:divBdr>
    </w:div>
    <w:div w:id="1852185371">
      <w:bodyDiv w:val="1"/>
      <w:marLeft w:val="0"/>
      <w:marRight w:val="0"/>
      <w:marTop w:val="0"/>
      <w:marBottom w:val="0"/>
      <w:divBdr>
        <w:top w:val="none" w:sz="0" w:space="0" w:color="auto"/>
        <w:left w:val="none" w:sz="0" w:space="0" w:color="auto"/>
        <w:bottom w:val="none" w:sz="0" w:space="0" w:color="auto"/>
        <w:right w:val="none" w:sz="0" w:space="0" w:color="auto"/>
      </w:divBdr>
    </w:div>
    <w:div w:id="1925727244">
      <w:bodyDiv w:val="1"/>
      <w:marLeft w:val="0"/>
      <w:marRight w:val="0"/>
      <w:marTop w:val="0"/>
      <w:marBottom w:val="0"/>
      <w:divBdr>
        <w:top w:val="none" w:sz="0" w:space="0" w:color="auto"/>
        <w:left w:val="none" w:sz="0" w:space="0" w:color="auto"/>
        <w:bottom w:val="none" w:sz="0" w:space="0" w:color="auto"/>
        <w:right w:val="none" w:sz="0" w:space="0" w:color="auto"/>
      </w:divBdr>
    </w:div>
    <w:div w:id="1949047336">
      <w:bodyDiv w:val="1"/>
      <w:marLeft w:val="0"/>
      <w:marRight w:val="0"/>
      <w:marTop w:val="0"/>
      <w:marBottom w:val="0"/>
      <w:divBdr>
        <w:top w:val="none" w:sz="0" w:space="0" w:color="auto"/>
        <w:left w:val="none" w:sz="0" w:space="0" w:color="auto"/>
        <w:bottom w:val="none" w:sz="0" w:space="0" w:color="auto"/>
        <w:right w:val="none" w:sz="0" w:space="0" w:color="auto"/>
      </w:divBdr>
    </w:div>
    <w:div w:id="1957327235">
      <w:bodyDiv w:val="1"/>
      <w:marLeft w:val="0"/>
      <w:marRight w:val="0"/>
      <w:marTop w:val="0"/>
      <w:marBottom w:val="0"/>
      <w:divBdr>
        <w:top w:val="none" w:sz="0" w:space="0" w:color="auto"/>
        <w:left w:val="none" w:sz="0" w:space="0" w:color="auto"/>
        <w:bottom w:val="none" w:sz="0" w:space="0" w:color="auto"/>
        <w:right w:val="none" w:sz="0" w:space="0" w:color="auto"/>
      </w:divBdr>
    </w:div>
    <w:div w:id="1972906904">
      <w:bodyDiv w:val="1"/>
      <w:marLeft w:val="0"/>
      <w:marRight w:val="0"/>
      <w:marTop w:val="0"/>
      <w:marBottom w:val="0"/>
      <w:divBdr>
        <w:top w:val="none" w:sz="0" w:space="0" w:color="auto"/>
        <w:left w:val="none" w:sz="0" w:space="0" w:color="auto"/>
        <w:bottom w:val="none" w:sz="0" w:space="0" w:color="auto"/>
        <w:right w:val="none" w:sz="0" w:space="0" w:color="auto"/>
      </w:divBdr>
    </w:div>
    <w:div w:id="1976369404">
      <w:bodyDiv w:val="1"/>
      <w:marLeft w:val="0"/>
      <w:marRight w:val="0"/>
      <w:marTop w:val="0"/>
      <w:marBottom w:val="0"/>
      <w:divBdr>
        <w:top w:val="none" w:sz="0" w:space="0" w:color="auto"/>
        <w:left w:val="none" w:sz="0" w:space="0" w:color="auto"/>
        <w:bottom w:val="none" w:sz="0" w:space="0" w:color="auto"/>
        <w:right w:val="none" w:sz="0" w:space="0" w:color="auto"/>
      </w:divBdr>
    </w:div>
    <w:div w:id="1989169453">
      <w:bodyDiv w:val="1"/>
      <w:marLeft w:val="0"/>
      <w:marRight w:val="0"/>
      <w:marTop w:val="0"/>
      <w:marBottom w:val="0"/>
      <w:divBdr>
        <w:top w:val="none" w:sz="0" w:space="0" w:color="auto"/>
        <w:left w:val="none" w:sz="0" w:space="0" w:color="auto"/>
        <w:bottom w:val="none" w:sz="0" w:space="0" w:color="auto"/>
        <w:right w:val="none" w:sz="0" w:space="0" w:color="auto"/>
      </w:divBdr>
    </w:div>
    <w:div w:id="2028405217">
      <w:bodyDiv w:val="1"/>
      <w:marLeft w:val="0"/>
      <w:marRight w:val="0"/>
      <w:marTop w:val="0"/>
      <w:marBottom w:val="0"/>
      <w:divBdr>
        <w:top w:val="none" w:sz="0" w:space="0" w:color="auto"/>
        <w:left w:val="none" w:sz="0" w:space="0" w:color="auto"/>
        <w:bottom w:val="none" w:sz="0" w:space="0" w:color="auto"/>
        <w:right w:val="none" w:sz="0" w:space="0" w:color="auto"/>
      </w:divBdr>
    </w:div>
    <w:div w:id="21241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vzuat.net/ithalat/haksiz/haksz201915.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B812D-5841-4B6F-9270-6D92A33A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2573</Words>
  <Characters>18102</Characters>
  <Application>Microsoft Office Word</Application>
  <DocSecurity>0</DocSecurity>
  <Lines>150</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bim</Company>
  <LinksUpToDate>false</LinksUpToDate>
  <CharactersWithSpaces>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1/9</dc:creator>
  <cp:keywords/>
  <cp:lastModifiedBy>Halil İbrahim KARATAŞ</cp:lastModifiedBy>
  <cp:revision>14</cp:revision>
  <cp:lastPrinted>2020-01-07T15:06:00Z</cp:lastPrinted>
  <dcterms:created xsi:type="dcterms:W3CDTF">2020-01-07T14:38:00Z</dcterms:created>
  <dcterms:modified xsi:type="dcterms:W3CDTF">2020-01-08T08:23:00Z</dcterms:modified>
</cp:coreProperties>
</file>